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napToGrid w:val="0"/>
        <w:spacing w:line="240" w:lineRule="atLeast"/>
        <w:jc w:val="both"/>
        <w:rPr>
          <w:rFonts w:hint="eastAsia" w:ascii="方正小标宋简体" w:hAnsi="宋体" w:eastAsia="方正小标宋简体" w:cs="宋体"/>
          <w:kern w:val="0"/>
          <w:sz w:val="44"/>
          <w:szCs w:val="44"/>
          <w:lang w:val="en-US" w:eastAsia="zh-CN"/>
        </w:rPr>
      </w:pPr>
      <w:r>
        <w:rPr>
          <w:rFonts w:hint="eastAsia" w:ascii="仿宋" w:hAnsi="仿宋" w:eastAsia="仿宋" w:cs="仿宋"/>
          <w:kern w:val="0"/>
          <w:sz w:val="28"/>
          <w:szCs w:val="28"/>
          <w:lang w:val="en-US" w:eastAsia="zh-CN"/>
        </w:rPr>
        <w:t>附件3</w:t>
      </w:r>
    </w:p>
    <w:p>
      <w:pPr>
        <w:widowControl/>
        <w:adjustRightInd w:val="0"/>
        <w:snapToGrid w:val="0"/>
        <w:spacing w:line="240" w:lineRule="atLeast"/>
        <w:jc w:val="center"/>
        <w:rPr>
          <w:rFonts w:hint="eastAsia"/>
        </w:rPr>
      </w:pPr>
      <w:r>
        <w:rPr>
          <w:rFonts w:hint="eastAsia" w:ascii="方正小标宋简体" w:hAnsi="宋体" w:eastAsia="方正小标宋简体" w:cs="宋体"/>
          <w:kern w:val="0"/>
          <w:sz w:val="44"/>
          <w:szCs w:val="44"/>
          <w:lang w:eastAsia="zh-CN"/>
        </w:rPr>
        <w:t>民办非学历教育机构修改章程备案</w:t>
      </w:r>
      <w:r>
        <w:rPr>
          <w:rFonts w:hint="eastAsia" w:ascii="方正小标宋简体" w:hAnsi="宋体" w:eastAsia="方正小标宋简体" w:cs="宋体"/>
          <w:kern w:val="0"/>
          <w:sz w:val="44"/>
          <w:szCs w:val="44"/>
        </w:rPr>
        <w:t>信息表</w:t>
      </w:r>
    </w:p>
    <w:tbl>
      <w:tblPr>
        <w:tblStyle w:val="4"/>
        <w:tblpPr w:leftFromText="180" w:rightFromText="180" w:vertAnchor="text" w:horzAnchor="page" w:tblpX="1882" w:tblpY="259"/>
        <w:tblOverlap w:val="never"/>
        <w:tblW w:w="82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5"/>
        <w:gridCol w:w="6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6"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事项名称</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auto"/>
                <w:kern w:val="0"/>
                <w:sz w:val="24"/>
                <w:lang w:eastAsia="zh-CN"/>
              </w:rPr>
            </w:pPr>
            <w:r>
              <w:rPr>
                <w:rFonts w:hint="eastAsia" w:ascii="仿宋" w:hAnsi="仿宋" w:eastAsia="仿宋" w:cs="仿宋"/>
                <w:color w:val="auto"/>
                <w:kern w:val="0"/>
                <w:sz w:val="24"/>
                <w:lang w:val="en-US" w:eastAsia="zh-CN"/>
              </w:rPr>
              <w:t xml:space="preserve">    </w:t>
            </w:r>
            <w:r>
              <w:rPr>
                <w:rFonts w:hint="eastAsia" w:ascii="仿宋" w:hAnsi="仿宋" w:eastAsia="仿宋" w:cs="仿宋"/>
                <w:color w:val="auto"/>
                <w:kern w:val="0"/>
                <w:sz w:val="24"/>
                <w:lang w:eastAsia="zh-CN"/>
              </w:rPr>
              <w:t>民办非学历教育机构修改章程的备案</w:t>
            </w:r>
          </w:p>
          <w:p>
            <w:pPr>
              <w:widowControl/>
              <w:adjustRightInd w:val="0"/>
              <w:snapToGrid w:val="0"/>
              <w:spacing w:line="360" w:lineRule="atLeast"/>
              <w:jc w:val="left"/>
              <w:rPr>
                <w:rFonts w:hint="eastAsia" w:ascii="仿宋" w:hAnsi="仿宋" w:eastAsia="仿宋" w:cs="仿宋"/>
                <w:color w:val="auto"/>
                <w:kern w:val="0"/>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0"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bookmarkStart w:id="0" w:name="_GoBack" w:colFirst="1" w:colLast="1"/>
            <w:r>
              <w:rPr>
                <w:rFonts w:hint="eastAsia" w:ascii="黑体" w:hAnsi="黑体" w:eastAsia="黑体" w:cs="黑体"/>
                <w:kern w:val="0"/>
                <w:sz w:val="22"/>
                <w:szCs w:val="22"/>
              </w:rPr>
              <w:t>事项编码</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 xml:space="preserve">     （事项编码不需要填写）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1"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lang w:val="en-US" w:eastAsia="zh-CN"/>
              </w:rPr>
            </w:pPr>
            <w:r>
              <w:rPr>
                <w:rFonts w:hint="eastAsia" w:ascii="黑体" w:hAnsi="黑体" w:eastAsia="黑体" w:cs="黑体"/>
                <w:kern w:val="0"/>
                <w:sz w:val="22"/>
                <w:szCs w:val="22"/>
                <w:lang w:val="en-US" w:eastAsia="zh-CN"/>
              </w:rPr>
              <w:t>事项类别</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 xml:space="preserve">     法律和信息查询类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1"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职权类型</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 xml:space="preserve">     </w:t>
            </w:r>
            <w:r>
              <w:rPr>
                <w:rFonts w:hint="eastAsia" w:ascii="仿宋" w:hAnsi="仿宋" w:eastAsia="仿宋" w:cs="仿宋"/>
                <w:color w:val="auto"/>
                <w:kern w:val="0"/>
                <w:sz w:val="24"/>
                <w:lang w:eastAsia="zh-CN"/>
              </w:rPr>
              <w:t>其他类别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0"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办理类型</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 xml:space="preserve">     即办件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0"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lang w:eastAsia="zh-CN"/>
              </w:rPr>
            </w:pPr>
            <w:r>
              <w:rPr>
                <w:rFonts w:hint="eastAsia" w:ascii="黑体" w:hAnsi="黑体" w:eastAsia="黑体" w:cs="黑体"/>
                <w:kern w:val="0"/>
                <w:sz w:val="22"/>
                <w:szCs w:val="22"/>
                <w:lang w:eastAsia="zh-CN"/>
              </w:rPr>
              <w:t>是否纳入</w:t>
            </w:r>
          </w:p>
          <w:p>
            <w:pPr>
              <w:widowControl/>
              <w:adjustRightInd w:val="0"/>
              <w:snapToGrid w:val="0"/>
              <w:spacing w:line="360" w:lineRule="atLeast"/>
              <w:jc w:val="center"/>
              <w:rPr>
                <w:rFonts w:hint="eastAsia" w:ascii="黑体" w:hAnsi="黑体" w:eastAsia="黑体" w:cs="黑体"/>
                <w:kern w:val="0"/>
                <w:sz w:val="22"/>
                <w:szCs w:val="22"/>
                <w:lang w:eastAsia="zh-CN"/>
              </w:rPr>
            </w:pPr>
            <w:r>
              <w:rPr>
                <w:rFonts w:hint="eastAsia" w:ascii="黑体" w:hAnsi="黑体" w:eastAsia="黑体" w:cs="黑体"/>
                <w:kern w:val="0"/>
                <w:sz w:val="22"/>
                <w:szCs w:val="22"/>
                <w:lang w:eastAsia="zh-CN"/>
              </w:rPr>
              <w:t>政府购买服务</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 xml:space="preserve">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6"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办理主体</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 xml:space="preserve">     大武口区教育体育局基教室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1"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申请主体</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auto"/>
                <w:kern w:val="0"/>
                <w:sz w:val="24"/>
                <w:lang w:val="en-US" w:eastAsia="zh-CN"/>
              </w:rPr>
            </w:pPr>
            <w:r>
              <w:rPr>
                <w:rFonts w:hint="eastAsia" w:ascii="仿宋" w:hAnsi="仿宋" w:eastAsia="仿宋" w:cs="仿宋"/>
                <w:color w:val="auto"/>
                <w:kern w:val="0"/>
                <w:sz w:val="24"/>
                <w:lang w:val="en-US" w:eastAsia="zh-CN"/>
              </w:rPr>
              <w:t xml:space="preserve">     </w:t>
            </w:r>
            <w:r>
              <w:rPr>
                <w:rFonts w:hint="eastAsia" w:ascii="仿宋" w:hAnsi="仿宋" w:eastAsia="仿宋" w:cs="仿宋"/>
                <w:color w:val="auto"/>
                <w:kern w:val="0"/>
                <w:sz w:val="24"/>
                <w:lang w:eastAsia="zh-CN"/>
              </w:rPr>
              <w:t>持有《民办学校办学许可证》的民办非学历教育机构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申请条件</w:t>
            </w:r>
          </w:p>
        </w:tc>
        <w:tc>
          <w:tcPr>
            <w:tcW w:w="6225" w:type="dxa"/>
            <w:tcBorders>
              <w:top w:val="single" w:color="auto" w:sz="4" w:space="0"/>
              <w:left w:val="single" w:color="auto" w:sz="4" w:space="0"/>
              <w:bottom w:val="single" w:color="auto" w:sz="4" w:space="0"/>
              <w:right w:val="single" w:color="auto" w:sz="4" w:space="0"/>
            </w:tcBorders>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300" w:beforeAutospacing="0" w:after="300" w:afterAutospacing="0" w:line="378" w:lineRule="atLeast"/>
              <w:ind w:right="0"/>
              <w:jc w:val="left"/>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 xml:space="preserve">     持有《民办学校办学许可证》的民办非学历教育机构</w:t>
            </w:r>
          </w:p>
          <w:p>
            <w:pPr>
              <w:widowControl/>
              <w:adjustRightInd w:val="0"/>
              <w:snapToGrid w:val="0"/>
              <w:spacing w:line="360" w:lineRule="atLeast"/>
              <w:jc w:val="left"/>
              <w:rPr>
                <w:rFonts w:hint="eastAsia" w:ascii="仿宋" w:hAnsi="仿宋" w:eastAsia="仿宋" w:cs="仿宋"/>
                <w:color w:val="auto"/>
                <w:kern w:val="0"/>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数量限制</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 xml:space="preserve">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lang w:eastAsia="zh-CN"/>
              </w:rPr>
              <w:t>设定</w:t>
            </w:r>
            <w:r>
              <w:rPr>
                <w:rFonts w:hint="eastAsia" w:ascii="黑体" w:hAnsi="黑体" w:eastAsia="黑体" w:cs="黑体"/>
                <w:kern w:val="0"/>
                <w:sz w:val="22"/>
                <w:szCs w:val="22"/>
              </w:rPr>
              <w:t>依据</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 xml:space="preserve">   【行政法规】《中华人民共和国民办教育促进法实施条例》（2004年国务院令第399号）</w:t>
            </w:r>
          </w:p>
          <w:p>
            <w:pPr>
              <w:widowControl/>
              <w:adjustRightInd w:val="0"/>
              <w:snapToGrid w:val="0"/>
              <w:spacing w:line="360" w:lineRule="atLeast"/>
              <w:ind w:firstLine="480" w:firstLineChars="200"/>
              <w:jc w:val="left"/>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 xml:space="preserve">    </w:t>
            </w:r>
            <w:r>
              <w:rPr>
                <w:rFonts w:hint="default" w:ascii="仿宋" w:hAnsi="仿宋" w:eastAsia="仿宋" w:cs="仿宋"/>
                <w:color w:val="auto"/>
                <w:kern w:val="0"/>
                <w:sz w:val="24"/>
                <w:szCs w:val="24"/>
                <w:lang w:val="en-US" w:eastAsia="zh-CN" w:bidi="ar-SA"/>
              </w:rPr>
              <w:t>第十四条 民办学校的章程应当规定下列主要事项：</w:t>
            </w:r>
          </w:p>
          <w:p>
            <w:pPr>
              <w:widowControl/>
              <w:adjustRightInd w:val="0"/>
              <w:snapToGrid w:val="0"/>
              <w:spacing w:line="360" w:lineRule="atLeast"/>
              <w:ind w:firstLine="480" w:firstLineChars="200"/>
              <w:jc w:val="left"/>
              <w:rPr>
                <w:rFonts w:hint="default" w:ascii="仿宋" w:hAnsi="仿宋" w:eastAsia="仿宋" w:cs="仿宋"/>
                <w:color w:val="auto"/>
                <w:kern w:val="0"/>
                <w:sz w:val="24"/>
                <w:szCs w:val="24"/>
                <w:lang w:val="en-US" w:eastAsia="zh-CN" w:bidi="ar-SA"/>
              </w:rPr>
            </w:pPr>
            <w:r>
              <w:rPr>
                <w:rFonts w:hint="default" w:ascii="仿宋" w:hAnsi="仿宋" w:eastAsia="仿宋" w:cs="仿宋"/>
                <w:color w:val="auto"/>
                <w:kern w:val="0"/>
                <w:sz w:val="24"/>
                <w:szCs w:val="24"/>
                <w:lang w:val="en-US" w:eastAsia="zh-CN" w:bidi="ar-SA"/>
              </w:rPr>
              <w:t>（一）学校的名称、地址；</w:t>
            </w:r>
          </w:p>
          <w:p>
            <w:pPr>
              <w:widowControl/>
              <w:adjustRightInd w:val="0"/>
              <w:snapToGrid w:val="0"/>
              <w:spacing w:line="360" w:lineRule="atLeast"/>
              <w:ind w:firstLine="480" w:firstLineChars="200"/>
              <w:jc w:val="left"/>
              <w:rPr>
                <w:rFonts w:hint="default" w:ascii="仿宋" w:hAnsi="仿宋" w:eastAsia="仿宋" w:cs="仿宋"/>
                <w:color w:val="auto"/>
                <w:kern w:val="0"/>
                <w:sz w:val="24"/>
                <w:szCs w:val="24"/>
                <w:lang w:val="en-US" w:eastAsia="zh-CN" w:bidi="ar-SA"/>
              </w:rPr>
            </w:pPr>
            <w:r>
              <w:rPr>
                <w:rFonts w:hint="default" w:ascii="仿宋" w:hAnsi="仿宋" w:eastAsia="仿宋" w:cs="仿宋"/>
                <w:color w:val="auto"/>
                <w:kern w:val="0"/>
                <w:sz w:val="24"/>
                <w:szCs w:val="24"/>
                <w:lang w:val="en-US" w:eastAsia="zh-CN" w:bidi="ar-SA"/>
              </w:rPr>
              <w:t>（二）办学宗旨、规模、层次、形式等；</w:t>
            </w:r>
          </w:p>
          <w:p>
            <w:pPr>
              <w:widowControl/>
              <w:adjustRightInd w:val="0"/>
              <w:snapToGrid w:val="0"/>
              <w:spacing w:line="360" w:lineRule="atLeast"/>
              <w:ind w:firstLine="480" w:firstLineChars="200"/>
              <w:jc w:val="left"/>
              <w:rPr>
                <w:rFonts w:hint="default" w:ascii="仿宋" w:hAnsi="仿宋" w:eastAsia="仿宋" w:cs="仿宋"/>
                <w:color w:val="auto"/>
                <w:kern w:val="0"/>
                <w:sz w:val="24"/>
                <w:szCs w:val="24"/>
                <w:lang w:val="en-US" w:eastAsia="zh-CN" w:bidi="ar-SA"/>
              </w:rPr>
            </w:pPr>
            <w:r>
              <w:rPr>
                <w:rFonts w:hint="default" w:ascii="仿宋" w:hAnsi="仿宋" w:eastAsia="仿宋" w:cs="仿宋"/>
                <w:color w:val="auto"/>
                <w:kern w:val="0"/>
                <w:sz w:val="24"/>
                <w:szCs w:val="24"/>
                <w:lang w:val="en-US" w:eastAsia="zh-CN" w:bidi="ar-SA"/>
              </w:rPr>
              <w:t>（三）学校资产的数额、来源、性质等；</w:t>
            </w:r>
          </w:p>
          <w:p>
            <w:pPr>
              <w:widowControl/>
              <w:adjustRightInd w:val="0"/>
              <w:snapToGrid w:val="0"/>
              <w:spacing w:line="360" w:lineRule="atLeast"/>
              <w:ind w:firstLine="480" w:firstLineChars="200"/>
              <w:jc w:val="left"/>
              <w:rPr>
                <w:rFonts w:hint="default" w:ascii="仿宋" w:hAnsi="仿宋" w:eastAsia="仿宋" w:cs="仿宋"/>
                <w:color w:val="auto"/>
                <w:kern w:val="0"/>
                <w:sz w:val="24"/>
                <w:szCs w:val="24"/>
                <w:lang w:val="en-US" w:eastAsia="zh-CN" w:bidi="ar-SA"/>
              </w:rPr>
            </w:pPr>
            <w:r>
              <w:rPr>
                <w:rFonts w:hint="default" w:ascii="仿宋" w:hAnsi="仿宋" w:eastAsia="仿宋" w:cs="仿宋"/>
                <w:color w:val="auto"/>
                <w:kern w:val="0"/>
                <w:sz w:val="24"/>
                <w:szCs w:val="24"/>
                <w:lang w:val="en-US" w:eastAsia="zh-CN" w:bidi="ar-SA"/>
              </w:rPr>
              <w:t>（四）理事会、董事会或者其他形式决策机构的产生方法、人员构成、任期、议事规则等；</w:t>
            </w:r>
          </w:p>
          <w:p>
            <w:pPr>
              <w:widowControl/>
              <w:adjustRightInd w:val="0"/>
              <w:snapToGrid w:val="0"/>
              <w:spacing w:line="360" w:lineRule="atLeast"/>
              <w:ind w:firstLine="480" w:firstLineChars="200"/>
              <w:jc w:val="left"/>
              <w:rPr>
                <w:rFonts w:hint="default" w:ascii="仿宋" w:hAnsi="仿宋" w:eastAsia="仿宋" w:cs="仿宋"/>
                <w:color w:val="auto"/>
                <w:kern w:val="0"/>
                <w:sz w:val="24"/>
                <w:szCs w:val="24"/>
                <w:lang w:val="en-US" w:eastAsia="zh-CN" w:bidi="ar-SA"/>
              </w:rPr>
            </w:pPr>
            <w:r>
              <w:rPr>
                <w:rFonts w:hint="default" w:ascii="仿宋" w:hAnsi="仿宋" w:eastAsia="仿宋" w:cs="仿宋"/>
                <w:color w:val="auto"/>
                <w:kern w:val="0"/>
                <w:sz w:val="24"/>
                <w:szCs w:val="24"/>
                <w:lang w:val="en-US" w:eastAsia="zh-CN" w:bidi="ar-SA"/>
              </w:rPr>
              <w:t>（五）学校的法定代表人；</w:t>
            </w:r>
          </w:p>
          <w:p>
            <w:pPr>
              <w:widowControl/>
              <w:adjustRightInd w:val="0"/>
              <w:snapToGrid w:val="0"/>
              <w:spacing w:line="360" w:lineRule="atLeast"/>
              <w:ind w:firstLine="480" w:firstLineChars="200"/>
              <w:jc w:val="left"/>
              <w:rPr>
                <w:rFonts w:hint="default" w:ascii="仿宋" w:hAnsi="仿宋" w:eastAsia="仿宋" w:cs="仿宋"/>
                <w:color w:val="auto"/>
                <w:kern w:val="0"/>
                <w:sz w:val="24"/>
                <w:szCs w:val="24"/>
                <w:lang w:val="en-US" w:eastAsia="zh-CN" w:bidi="ar-SA"/>
              </w:rPr>
            </w:pPr>
            <w:r>
              <w:rPr>
                <w:rFonts w:hint="default" w:ascii="仿宋" w:hAnsi="仿宋" w:eastAsia="仿宋" w:cs="仿宋"/>
                <w:color w:val="auto"/>
                <w:kern w:val="0"/>
                <w:sz w:val="24"/>
                <w:szCs w:val="24"/>
                <w:lang w:val="en-US" w:eastAsia="zh-CN" w:bidi="ar-SA"/>
              </w:rPr>
              <w:t>（六）出资人是否要求取得合理回报；</w:t>
            </w:r>
          </w:p>
          <w:p>
            <w:pPr>
              <w:widowControl/>
              <w:adjustRightInd w:val="0"/>
              <w:snapToGrid w:val="0"/>
              <w:spacing w:line="360" w:lineRule="atLeast"/>
              <w:ind w:firstLine="480" w:firstLineChars="200"/>
              <w:jc w:val="left"/>
              <w:rPr>
                <w:rFonts w:hint="default" w:ascii="仿宋" w:hAnsi="仿宋" w:eastAsia="仿宋" w:cs="仿宋"/>
                <w:color w:val="auto"/>
                <w:kern w:val="0"/>
                <w:sz w:val="24"/>
                <w:szCs w:val="24"/>
                <w:lang w:val="en-US" w:eastAsia="zh-CN" w:bidi="ar-SA"/>
              </w:rPr>
            </w:pPr>
            <w:r>
              <w:rPr>
                <w:rFonts w:hint="default" w:ascii="仿宋" w:hAnsi="仿宋" w:eastAsia="仿宋" w:cs="仿宋"/>
                <w:color w:val="auto"/>
                <w:kern w:val="0"/>
                <w:sz w:val="24"/>
                <w:szCs w:val="24"/>
                <w:lang w:val="en-US" w:eastAsia="zh-CN" w:bidi="ar-SA"/>
              </w:rPr>
              <w:t>（七）学校自行终止的事由；</w:t>
            </w:r>
          </w:p>
          <w:p>
            <w:pPr>
              <w:widowControl/>
              <w:adjustRightInd w:val="0"/>
              <w:snapToGrid w:val="0"/>
              <w:spacing w:line="360" w:lineRule="atLeast"/>
              <w:ind w:firstLine="480" w:firstLineChars="200"/>
              <w:jc w:val="left"/>
              <w:rPr>
                <w:rFonts w:hint="default" w:ascii="仿宋" w:hAnsi="仿宋" w:eastAsia="仿宋" w:cs="仿宋"/>
                <w:color w:val="auto"/>
                <w:kern w:val="0"/>
                <w:sz w:val="24"/>
                <w:szCs w:val="24"/>
                <w:lang w:val="en-US" w:eastAsia="zh-CN" w:bidi="ar-SA"/>
              </w:rPr>
            </w:pPr>
            <w:r>
              <w:rPr>
                <w:rFonts w:hint="default" w:ascii="仿宋" w:hAnsi="仿宋" w:eastAsia="仿宋" w:cs="仿宋"/>
                <w:color w:val="auto"/>
                <w:kern w:val="0"/>
                <w:sz w:val="24"/>
                <w:szCs w:val="24"/>
                <w:lang w:val="en-US" w:eastAsia="zh-CN" w:bidi="ar-SA"/>
              </w:rPr>
              <w:t>（八）章程修改程序。</w:t>
            </w:r>
          </w:p>
          <w:p>
            <w:pPr>
              <w:widowControl/>
              <w:adjustRightInd w:val="0"/>
              <w:snapToGrid w:val="0"/>
              <w:spacing w:line="360" w:lineRule="atLeast"/>
              <w:ind w:firstLine="480" w:firstLineChars="200"/>
              <w:jc w:val="left"/>
              <w:rPr>
                <w:rFonts w:hint="default" w:ascii="仿宋" w:hAnsi="仿宋" w:eastAsia="仿宋" w:cs="仿宋"/>
                <w:color w:val="auto"/>
                <w:kern w:val="0"/>
                <w:sz w:val="24"/>
                <w:szCs w:val="24"/>
                <w:lang w:val="en-US" w:eastAsia="zh-CN" w:bidi="ar-SA"/>
              </w:rPr>
            </w:pPr>
            <w:r>
              <w:rPr>
                <w:rFonts w:hint="default" w:ascii="仿宋" w:hAnsi="仿宋" w:eastAsia="仿宋" w:cs="仿宋"/>
                <w:color w:val="auto"/>
                <w:kern w:val="0"/>
                <w:sz w:val="24"/>
                <w:szCs w:val="24"/>
                <w:lang w:val="en-US" w:eastAsia="zh-CN" w:bidi="ar-SA"/>
              </w:rPr>
              <w:t>第二十条 民办学校的理事会、董事会或者其他形式决策机构，每年至少召开一次会议。经1／3以上组成人员提议，可以召开理事会、董事会或者其他形式决策机构临时会议。</w:t>
            </w:r>
          </w:p>
          <w:p>
            <w:pPr>
              <w:widowControl/>
              <w:adjustRightInd w:val="0"/>
              <w:snapToGrid w:val="0"/>
              <w:spacing w:line="360" w:lineRule="atLeast"/>
              <w:ind w:firstLine="480" w:firstLineChars="200"/>
              <w:jc w:val="left"/>
              <w:rPr>
                <w:rFonts w:hint="default" w:ascii="仿宋" w:hAnsi="仿宋" w:eastAsia="仿宋" w:cs="仿宋"/>
                <w:color w:val="auto"/>
                <w:kern w:val="0"/>
                <w:sz w:val="24"/>
                <w:szCs w:val="24"/>
                <w:lang w:val="en-US" w:eastAsia="zh-CN" w:bidi="ar-SA"/>
              </w:rPr>
            </w:pPr>
            <w:r>
              <w:rPr>
                <w:rFonts w:hint="default" w:ascii="仿宋" w:hAnsi="仿宋" w:eastAsia="仿宋" w:cs="仿宋"/>
                <w:color w:val="auto"/>
                <w:kern w:val="0"/>
                <w:sz w:val="24"/>
                <w:szCs w:val="24"/>
                <w:lang w:val="en-US" w:eastAsia="zh-CN" w:bidi="ar-SA"/>
              </w:rPr>
              <w:t>民办学校的理事会、董事会或者其他形式决策机构讨论下列重大事项，应当经2／3以上组成人员同意方可通过：</w:t>
            </w:r>
          </w:p>
          <w:p>
            <w:pPr>
              <w:widowControl/>
              <w:adjustRightInd w:val="0"/>
              <w:snapToGrid w:val="0"/>
              <w:spacing w:line="360" w:lineRule="atLeast"/>
              <w:ind w:firstLine="480" w:firstLineChars="200"/>
              <w:jc w:val="left"/>
              <w:rPr>
                <w:rFonts w:hint="default" w:ascii="仿宋" w:hAnsi="仿宋" w:eastAsia="仿宋" w:cs="仿宋"/>
                <w:color w:val="auto"/>
                <w:kern w:val="0"/>
                <w:sz w:val="24"/>
                <w:szCs w:val="24"/>
                <w:lang w:val="en-US" w:eastAsia="zh-CN" w:bidi="ar-SA"/>
              </w:rPr>
            </w:pPr>
            <w:r>
              <w:rPr>
                <w:rFonts w:hint="default" w:ascii="仿宋" w:hAnsi="仿宋" w:eastAsia="仿宋" w:cs="仿宋"/>
                <w:color w:val="auto"/>
                <w:kern w:val="0"/>
                <w:sz w:val="24"/>
                <w:szCs w:val="24"/>
                <w:lang w:val="en-US" w:eastAsia="zh-CN" w:bidi="ar-SA"/>
              </w:rPr>
              <w:t>（一）聘任、解聘校长；</w:t>
            </w:r>
          </w:p>
          <w:p>
            <w:pPr>
              <w:widowControl/>
              <w:adjustRightInd w:val="0"/>
              <w:snapToGrid w:val="0"/>
              <w:spacing w:line="360" w:lineRule="atLeast"/>
              <w:ind w:firstLine="480" w:firstLineChars="200"/>
              <w:jc w:val="left"/>
              <w:rPr>
                <w:rFonts w:hint="default" w:ascii="仿宋" w:hAnsi="仿宋" w:eastAsia="仿宋" w:cs="仿宋"/>
                <w:color w:val="auto"/>
                <w:kern w:val="0"/>
                <w:sz w:val="24"/>
                <w:szCs w:val="24"/>
                <w:lang w:val="en-US" w:eastAsia="zh-CN" w:bidi="ar-SA"/>
              </w:rPr>
            </w:pPr>
            <w:r>
              <w:rPr>
                <w:rFonts w:hint="default" w:ascii="仿宋" w:hAnsi="仿宋" w:eastAsia="仿宋" w:cs="仿宋"/>
                <w:color w:val="auto"/>
                <w:kern w:val="0"/>
                <w:sz w:val="24"/>
                <w:szCs w:val="24"/>
                <w:lang w:val="en-US" w:eastAsia="zh-CN" w:bidi="ar-SA"/>
              </w:rPr>
              <w:t>（二）修改学校章程；</w:t>
            </w:r>
          </w:p>
          <w:p>
            <w:pPr>
              <w:widowControl/>
              <w:adjustRightInd w:val="0"/>
              <w:snapToGrid w:val="0"/>
              <w:spacing w:line="360" w:lineRule="atLeast"/>
              <w:ind w:firstLine="480" w:firstLineChars="200"/>
              <w:jc w:val="left"/>
              <w:rPr>
                <w:rFonts w:hint="default" w:ascii="仿宋" w:hAnsi="仿宋" w:eastAsia="仿宋" w:cs="仿宋"/>
                <w:color w:val="auto"/>
                <w:kern w:val="0"/>
                <w:sz w:val="24"/>
                <w:szCs w:val="24"/>
                <w:lang w:val="en-US" w:eastAsia="zh-CN" w:bidi="ar-SA"/>
              </w:rPr>
            </w:pPr>
            <w:r>
              <w:rPr>
                <w:rFonts w:hint="default" w:ascii="仿宋" w:hAnsi="仿宋" w:eastAsia="仿宋" w:cs="仿宋"/>
                <w:color w:val="auto"/>
                <w:kern w:val="0"/>
                <w:sz w:val="24"/>
                <w:szCs w:val="24"/>
                <w:lang w:val="en-US" w:eastAsia="zh-CN" w:bidi="ar-SA"/>
              </w:rPr>
              <w:t>（三）制定发展规划；</w:t>
            </w:r>
          </w:p>
          <w:p>
            <w:pPr>
              <w:widowControl/>
              <w:adjustRightInd w:val="0"/>
              <w:snapToGrid w:val="0"/>
              <w:spacing w:line="360" w:lineRule="atLeast"/>
              <w:ind w:firstLine="480" w:firstLineChars="200"/>
              <w:jc w:val="left"/>
              <w:rPr>
                <w:rFonts w:hint="default" w:ascii="仿宋" w:hAnsi="仿宋" w:eastAsia="仿宋" w:cs="仿宋"/>
                <w:color w:val="auto"/>
                <w:kern w:val="0"/>
                <w:sz w:val="24"/>
                <w:szCs w:val="24"/>
                <w:lang w:val="en-US" w:eastAsia="zh-CN" w:bidi="ar-SA"/>
              </w:rPr>
            </w:pPr>
            <w:r>
              <w:rPr>
                <w:rFonts w:hint="default" w:ascii="仿宋" w:hAnsi="仿宋" w:eastAsia="仿宋" w:cs="仿宋"/>
                <w:color w:val="auto"/>
                <w:kern w:val="0"/>
                <w:sz w:val="24"/>
                <w:szCs w:val="24"/>
                <w:lang w:val="en-US" w:eastAsia="zh-CN" w:bidi="ar-SA"/>
              </w:rPr>
              <w:t>（四）审核预算、决算；</w:t>
            </w:r>
          </w:p>
          <w:p>
            <w:pPr>
              <w:widowControl/>
              <w:adjustRightInd w:val="0"/>
              <w:snapToGrid w:val="0"/>
              <w:spacing w:line="360" w:lineRule="atLeast"/>
              <w:ind w:firstLine="480" w:firstLineChars="200"/>
              <w:jc w:val="left"/>
              <w:rPr>
                <w:rFonts w:hint="default" w:ascii="仿宋" w:hAnsi="仿宋" w:eastAsia="仿宋" w:cs="仿宋"/>
                <w:color w:val="auto"/>
                <w:kern w:val="0"/>
                <w:sz w:val="24"/>
                <w:szCs w:val="24"/>
                <w:lang w:val="en-US" w:eastAsia="zh-CN" w:bidi="ar-SA"/>
              </w:rPr>
            </w:pPr>
            <w:r>
              <w:rPr>
                <w:rFonts w:hint="default" w:ascii="仿宋" w:hAnsi="仿宋" w:eastAsia="仿宋" w:cs="仿宋"/>
                <w:color w:val="auto"/>
                <w:kern w:val="0"/>
                <w:sz w:val="24"/>
                <w:szCs w:val="24"/>
                <w:lang w:val="en-US" w:eastAsia="zh-CN" w:bidi="ar-SA"/>
              </w:rPr>
              <w:t>（五）决定学校的分立、合并、终止；</w:t>
            </w:r>
          </w:p>
          <w:p>
            <w:pPr>
              <w:widowControl/>
              <w:adjustRightInd w:val="0"/>
              <w:snapToGrid w:val="0"/>
              <w:spacing w:line="360" w:lineRule="atLeast"/>
              <w:ind w:firstLine="480" w:firstLineChars="200"/>
              <w:jc w:val="left"/>
              <w:rPr>
                <w:rFonts w:hint="default" w:ascii="仿宋" w:hAnsi="仿宋" w:eastAsia="仿宋" w:cs="仿宋"/>
                <w:color w:val="auto"/>
                <w:kern w:val="0"/>
                <w:sz w:val="24"/>
                <w:szCs w:val="24"/>
                <w:lang w:val="en-US" w:eastAsia="zh-CN" w:bidi="ar-SA"/>
              </w:rPr>
            </w:pPr>
            <w:r>
              <w:rPr>
                <w:rFonts w:hint="default" w:ascii="仿宋" w:hAnsi="仿宋" w:eastAsia="仿宋" w:cs="仿宋"/>
                <w:color w:val="auto"/>
                <w:kern w:val="0"/>
                <w:sz w:val="24"/>
                <w:szCs w:val="24"/>
                <w:lang w:val="en-US" w:eastAsia="zh-CN" w:bidi="ar-SA"/>
              </w:rPr>
              <w:t>（六）学校章程规定的其他重大事项。</w:t>
            </w:r>
          </w:p>
          <w:p>
            <w:pPr>
              <w:widowControl/>
              <w:adjustRightInd w:val="0"/>
              <w:snapToGrid w:val="0"/>
              <w:spacing w:line="360" w:lineRule="atLeast"/>
              <w:ind w:firstLine="480" w:firstLineChars="200"/>
              <w:jc w:val="left"/>
              <w:rPr>
                <w:rFonts w:hint="default" w:ascii="仿宋" w:hAnsi="仿宋" w:eastAsia="仿宋" w:cs="仿宋"/>
                <w:color w:val="auto"/>
                <w:kern w:val="0"/>
                <w:sz w:val="24"/>
                <w:szCs w:val="24"/>
                <w:lang w:val="en-US" w:eastAsia="zh-CN" w:bidi="ar-SA"/>
              </w:rPr>
            </w:pPr>
            <w:r>
              <w:rPr>
                <w:rFonts w:hint="default" w:ascii="仿宋" w:hAnsi="仿宋" w:eastAsia="仿宋" w:cs="仿宋"/>
                <w:color w:val="auto"/>
                <w:kern w:val="0"/>
                <w:sz w:val="24"/>
                <w:szCs w:val="24"/>
                <w:lang w:val="en-US" w:eastAsia="zh-CN" w:bidi="ar-SA"/>
              </w:rPr>
              <w:t>民办学校修改章程应当报审批机关备案，由审批机关向社会公告。</w:t>
            </w:r>
          </w:p>
          <w:p>
            <w:pPr>
              <w:widowControl/>
              <w:adjustRightInd w:val="0"/>
              <w:snapToGrid w:val="0"/>
              <w:spacing w:line="360" w:lineRule="atLeast"/>
              <w:ind w:firstLine="480" w:firstLineChars="200"/>
              <w:jc w:val="left"/>
              <w:rPr>
                <w:rFonts w:hint="default" w:ascii="仿宋" w:hAnsi="仿宋" w:eastAsia="仿宋" w:cs="仿宋"/>
                <w:color w:val="auto"/>
                <w:kern w:val="0"/>
                <w:sz w:val="24"/>
                <w:szCs w:val="24"/>
                <w:lang w:val="en-US" w:eastAsia="zh-CN" w:bidi="ar-SA"/>
              </w:rPr>
            </w:pPr>
          </w:p>
          <w:p>
            <w:pPr>
              <w:widowControl/>
              <w:adjustRightInd w:val="0"/>
              <w:snapToGrid w:val="0"/>
              <w:spacing w:line="360" w:lineRule="atLeast"/>
              <w:ind w:firstLine="480" w:firstLineChars="200"/>
              <w:jc w:val="left"/>
              <w:rPr>
                <w:rFonts w:hint="eastAsia" w:ascii="仿宋" w:hAnsi="仿宋" w:eastAsia="仿宋" w:cs="仿宋"/>
                <w:color w:val="auto"/>
                <w:kern w:val="0"/>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2"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申报材料</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民办非学历教育机构提出修订学校章程的申请。</w:t>
            </w:r>
          </w:p>
          <w:p>
            <w:pPr>
              <w:widowControl/>
              <w:adjustRightInd w:val="0"/>
              <w:snapToGrid w:val="0"/>
              <w:spacing w:line="360" w:lineRule="atLeast"/>
              <w:ind w:firstLine="480" w:firstLineChars="200"/>
              <w:jc w:val="left"/>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民办非学历教育机构理事会或董事会决议。</w:t>
            </w:r>
          </w:p>
          <w:p>
            <w:pPr>
              <w:widowControl/>
              <w:adjustRightInd w:val="0"/>
              <w:snapToGrid w:val="0"/>
              <w:spacing w:line="360" w:lineRule="atLeast"/>
              <w:ind w:firstLine="480" w:firstLineChars="200"/>
              <w:jc w:val="left"/>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3、修改的章程。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服务表格</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 xml:space="preserve">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5"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color w:val="000000"/>
                <w:kern w:val="0"/>
                <w:sz w:val="22"/>
                <w:szCs w:val="22"/>
              </w:rPr>
              <w:t>收费依据和标准</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 xml:space="preserve">     不收费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0"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法定期限</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 xml:space="preserve">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承诺期限</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 xml:space="preserve">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0"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特殊环节</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 xml:space="preserve">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事项公示</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 xml:space="preserve">   宁夏政务服务网、大武口区政府网、大武口区教育体育局网站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办理地点</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 xml:space="preserve">     大武口区教育体育局基教室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5"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联系电话</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auto"/>
                <w:kern w:val="0"/>
                <w:sz w:val="24"/>
                <w:szCs w:val="24"/>
                <w:lang w:val="en-US" w:eastAsia="zh-Hans" w:bidi="ar-SA"/>
              </w:rPr>
            </w:pPr>
            <w:r>
              <w:rPr>
                <w:rFonts w:hint="eastAsia" w:ascii="仿宋" w:hAnsi="仿宋" w:eastAsia="仿宋" w:cs="仿宋"/>
                <w:color w:val="auto"/>
                <w:kern w:val="0"/>
                <w:sz w:val="24"/>
                <w:szCs w:val="24"/>
                <w:lang w:val="en-US" w:eastAsia="zh-CN" w:bidi="ar-SA"/>
              </w:rPr>
              <w:t xml:space="preserve">    2012350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监督电话</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 xml:space="preserve">     局办公室：2013063   纪检组：2029673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5"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left="0" w:leftChars="0" w:right="0" w:rightChars="0" w:firstLine="0" w:firstLineChars="0"/>
              <w:jc w:val="center"/>
              <w:rPr>
                <w:rFonts w:hint="eastAsia" w:ascii="仿宋" w:hAnsi="仿宋" w:eastAsia="仿宋" w:cs="仿宋"/>
                <w:sz w:val="22"/>
                <w:szCs w:val="22"/>
              </w:rPr>
            </w:pPr>
            <w:r>
              <w:rPr>
                <w:rFonts w:hint="eastAsia" w:ascii="黑体" w:hAnsi="黑体" w:eastAsia="黑体" w:cs="黑体"/>
                <w:sz w:val="22"/>
                <w:szCs w:val="22"/>
              </w:rPr>
              <w:t>办理查询</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ind w:firstLine="480" w:firstLineChars="200"/>
              <w:jc w:val="left"/>
              <w:rPr>
                <w:rFonts w:hint="eastAsia" w:ascii="仿宋" w:hAnsi="仿宋" w:eastAsia="仿宋" w:cs="仿宋"/>
                <w:color w:val="auto"/>
                <w:kern w:val="0"/>
                <w:sz w:val="24"/>
                <w:szCs w:val="24"/>
                <w:lang w:val="en-US" w:eastAsia="zh-CN" w:bidi="ar-SA"/>
              </w:rPr>
            </w:pPr>
            <w:r>
              <w:rPr>
                <w:rFonts w:hint="eastAsia" w:ascii="仿宋" w:hAnsi="仿宋" w:eastAsia="仿宋" w:cs="仿宋"/>
                <w:color w:val="auto"/>
                <w:kern w:val="0"/>
                <w:sz w:val="24"/>
                <w:szCs w:val="24"/>
                <w:lang w:val="en-US" w:eastAsia="zh-CN" w:bidi="ar-SA"/>
              </w:rPr>
              <w:t xml:space="preserve">     申请人可通过宁夏政务服务网、石嘴山市政务服务大厅窗口电话、大武口区教育体育局基教室电话等方式查询公共服务事项的办理进程。</w:t>
            </w:r>
          </w:p>
        </w:tc>
      </w:tr>
      <w:bookmarkEnd w:id="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5" w:hRule="atLeast"/>
        </w:trPr>
        <w:tc>
          <w:tcPr>
            <w:tcW w:w="199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center"/>
              <w:rPr>
                <w:rFonts w:hint="eastAsia" w:ascii="黑体" w:hAnsi="黑体" w:eastAsia="黑体" w:cs="黑体"/>
                <w:kern w:val="0"/>
                <w:sz w:val="22"/>
                <w:szCs w:val="22"/>
              </w:rPr>
            </w:pPr>
            <w:r>
              <w:rPr>
                <w:rFonts w:hint="eastAsia" w:ascii="黑体" w:hAnsi="黑体" w:eastAsia="黑体" w:cs="黑体"/>
                <w:kern w:val="0"/>
                <w:sz w:val="22"/>
                <w:szCs w:val="22"/>
              </w:rPr>
              <w:t>在线办理链接</w:t>
            </w:r>
          </w:p>
        </w:tc>
        <w:tc>
          <w:tcPr>
            <w:tcW w:w="62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360" w:lineRule="atLeast"/>
              <w:jc w:val="left"/>
              <w:rPr>
                <w:rFonts w:hint="eastAsia" w:ascii="仿宋" w:hAnsi="仿宋" w:eastAsia="仿宋" w:cs="仿宋"/>
                <w:color w:val="000000"/>
                <w:kern w:val="0"/>
                <w:sz w:val="21"/>
                <w:szCs w:val="21"/>
                <w:lang w:val="en-US" w:eastAsia="zh-CN"/>
              </w:rPr>
            </w:pPr>
          </w:p>
        </w:tc>
      </w:tr>
    </w:tbl>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420" w:firstLineChars="200"/>
        <w:jc w:val="both"/>
        <w:textAlignment w:val="auto"/>
        <w:outlineLvl w:val="9"/>
        <w:rPr>
          <w:rFonts w:hint="eastAsia" w:ascii="仿宋" w:hAnsi="仿宋" w:eastAsia="仿宋" w:cs="仿宋"/>
          <w:sz w:val="22"/>
          <w:szCs w:val="22"/>
          <w:lang w:val="en-US" w:eastAsia="zh-CN"/>
        </w:rPr>
      </w:pPr>
    </w:p>
    <w:p>
      <w:pPr>
        <w:autoSpaceDE w:val="0"/>
        <w:autoSpaceDN w:val="0"/>
        <w:adjustRightInd w:val="0"/>
        <w:snapToGrid w:val="0"/>
        <w:spacing w:line="240" w:lineRule="atLeast"/>
        <w:jc w:val="both"/>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附件4</w:t>
      </w:r>
    </w:p>
    <w:p>
      <w:pPr>
        <w:autoSpaceDE w:val="0"/>
        <w:autoSpaceDN w:val="0"/>
        <w:adjustRightInd w:val="0"/>
        <w:snapToGrid w:val="0"/>
        <w:spacing w:line="240" w:lineRule="atLeast"/>
        <w:jc w:val="center"/>
        <w:rPr>
          <w:rFonts w:hint="eastAsia" w:ascii="方正小标宋简体" w:hAnsi="方正小标宋简体" w:eastAsia="方正小标宋简体" w:cs="方正小标宋简体"/>
          <w:kern w:val="0"/>
          <w:sz w:val="32"/>
          <w:szCs w:val="32"/>
          <w:lang w:val="zh-CN"/>
        </w:rPr>
      </w:pPr>
      <w:r>
        <w:rPr>
          <w:rFonts w:hint="eastAsia" w:ascii="方正小标宋简体" w:hAnsi="宋体" w:eastAsia="方正小标宋简体" w:cs="宋体"/>
          <w:kern w:val="0"/>
          <w:sz w:val="44"/>
          <w:szCs w:val="44"/>
          <w:lang w:val="en-US" w:eastAsia="zh-CN"/>
        </w:rPr>
        <w:t>xxx</w:t>
      </w:r>
      <w:r>
        <w:rPr>
          <w:rFonts w:hint="eastAsia" w:ascii="方正小标宋简体" w:hAnsi="宋体" w:eastAsia="方正小标宋简体" w:cs="宋体"/>
          <w:kern w:val="0"/>
          <w:sz w:val="44"/>
          <w:szCs w:val="44"/>
        </w:rPr>
        <w:t>办理流程</w:t>
      </w:r>
    </w:p>
    <w:tbl>
      <w:tblPr>
        <w:tblStyle w:val="4"/>
        <w:tblpPr w:leftFromText="180" w:rightFromText="180" w:vertAnchor="text" w:horzAnchor="page" w:tblpX="1635" w:tblpY="44"/>
        <w:tblOverlap w:val="never"/>
        <w:tblW w:w="8660" w:type="dxa"/>
        <w:tblInd w:w="0" w:type="dxa"/>
        <w:tblLayout w:type="fixed"/>
        <w:tblCellMar>
          <w:top w:w="0" w:type="dxa"/>
          <w:left w:w="14" w:type="dxa"/>
          <w:bottom w:w="0" w:type="dxa"/>
          <w:right w:w="14" w:type="dxa"/>
        </w:tblCellMar>
      </w:tblPr>
      <w:tblGrid>
        <w:gridCol w:w="1084"/>
        <w:gridCol w:w="1501"/>
        <w:gridCol w:w="4377"/>
        <w:gridCol w:w="1698"/>
      </w:tblGrid>
      <w:tr>
        <w:tblPrEx>
          <w:tblLayout w:type="fixed"/>
          <w:tblCellMar>
            <w:top w:w="0" w:type="dxa"/>
            <w:left w:w="14" w:type="dxa"/>
            <w:bottom w:w="0" w:type="dxa"/>
            <w:right w:w="14" w:type="dxa"/>
          </w:tblCellMar>
        </w:tblPrEx>
        <w:trPr>
          <w:trHeight w:val="981" w:hRule="atLeast"/>
        </w:trPr>
        <w:tc>
          <w:tcPr>
            <w:tcW w:w="108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color w:val="000000"/>
                <w:kern w:val="0"/>
                <w:sz w:val="24"/>
                <w:lang w:val="zh-CN"/>
              </w:rPr>
              <w:t>程  序</w:t>
            </w:r>
          </w:p>
        </w:tc>
        <w:tc>
          <w:tcPr>
            <w:tcW w:w="1501"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400" w:lineRule="atLeast"/>
              <w:jc w:val="center"/>
              <w:rPr>
                <w:rFonts w:hint="eastAsia" w:ascii="黑体" w:hAnsi="黑体" w:eastAsia="黑体" w:cs="黑体"/>
                <w:color w:val="000000"/>
                <w:kern w:val="0"/>
                <w:sz w:val="24"/>
                <w:lang w:val="zh-CN"/>
              </w:rPr>
            </w:pPr>
            <w:r>
              <w:rPr>
                <w:rFonts w:hint="eastAsia" w:ascii="黑体" w:hAnsi="黑体" w:eastAsia="黑体" w:cs="黑体"/>
                <w:color w:val="000000"/>
                <w:kern w:val="0"/>
                <w:sz w:val="24"/>
                <w:lang w:val="zh-CN"/>
              </w:rPr>
              <w:t>责任单位</w:t>
            </w:r>
          </w:p>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color w:val="000000"/>
                <w:kern w:val="0"/>
                <w:sz w:val="24"/>
                <w:lang w:val="zh-CN"/>
              </w:rPr>
              <w:t>及责任人</w:t>
            </w:r>
          </w:p>
        </w:tc>
        <w:tc>
          <w:tcPr>
            <w:tcW w:w="437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color w:val="000000"/>
                <w:kern w:val="0"/>
                <w:sz w:val="24"/>
                <w:lang w:val="zh-CN"/>
              </w:rPr>
              <w:t>工作内容</w:t>
            </w:r>
          </w:p>
        </w:tc>
        <w:tc>
          <w:tcPr>
            <w:tcW w:w="169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color w:val="000000"/>
                <w:kern w:val="0"/>
                <w:sz w:val="24"/>
                <w:lang w:val="zh-CN"/>
              </w:rPr>
              <w:t>办结时限</w:t>
            </w:r>
          </w:p>
        </w:tc>
      </w:tr>
      <w:tr>
        <w:tblPrEx>
          <w:tblLayout w:type="fixed"/>
          <w:tblCellMar>
            <w:top w:w="0" w:type="dxa"/>
            <w:left w:w="14" w:type="dxa"/>
            <w:bottom w:w="0" w:type="dxa"/>
            <w:right w:w="14" w:type="dxa"/>
          </w:tblCellMar>
        </w:tblPrEx>
        <w:trPr>
          <w:trHeight w:val="1237" w:hRule="atLeast"/>
        </w:trPr>
        <w:tc>
          <w:tcPr>
            <w:tcW w:w="1084"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center"/>
              <w:rPr>
                <w:rFonts w:hint="eastAsia" w:ascii="黑体" w:hAnsi="黑体" w:eastAsia="黑体" w:cs="黑体"/>
                <w:color w:val="auto"/>
                <w:kern w:val="0"/>
                <w:sz w:val="24"/>
                <w:lang w:val="en-US" w:eastAsia="zh-CN"/>
              </w:rPr>
            </w:pPr>
            <w:r>
              <w:rPr>
                <w:rFonts w:hint="eastAsia" w:ascii="黑体" w:hAnsi="黑体" w:eastAsia="黑体" w:cs="黑体"/>
                <w:color w:val="auto"/>
                <w:kern w:val="0"/>
                <w:sz w:val="24"/>
                <w:lang w:val="zh-CN"/>
              </w:rPr>
              <w:t>受理</w:t>
            </w:r>
          </w:p>
        </w:tc>
        <w:tc>
          <w:tcPr>
            <w:tcW w:w="1501" w:type="dxa"/>
            <w:tcBorders>
              <w:top w:val="single" w:color="auto" w:sz="4" w:space="0"/>
              <w:left w:val="single" w:color="auto" w:sz="4" w:space="0"/>
              <w:bottom w:val="single" w:color="auto" w:sz="4" w:space="0"/>
              <w:right w:val="single" w:color="auto" w:sz="4" w:space="0"/>
            </w:tcBorders>
            <w:textDirection w:val="lrTb"/>
            <w:vAlign w:val="center"/>
          </w:tcPr>
          <w:p>
            <w:pPr>
              <w:adjustRightInd w:val="0"/>
              <w:snapToGrid w:val="0"/>
              <w:spacing w:line="280" w:lineRule="atLeast"/>
              <w:jc w:val="center"/>
              <w:rPr>
                <w:rFonts w:hint="eastAsia" w:ascii="仿宋" w:hAnsi="仿宋" w:eastAsia="仿宋" w:cs="仿宋"/>
                <w:color w:val="auto"/>
                <w:kern w:val="0"/>
                <w:sz w:val="24"/>
              </w:rPr>
            </w:pPr>
            <w:r>
              <w:rPr>
                <w:rFonts w:hint="eastAsia" w:ascii="仿宋" w:hAnsi="仿宋" w:eastAsia="仿宋" w:cs="仿宋"/>
                <w:color w:val="auto"/>
                <w:kern w:val="0"/>
                <w:sz w:val="24"/>
              </w:rPr>
              <w:t>政务服务</w:t>
            </w:r>
          </w:p>
          <w:p>
            <w:pPr>
              <w:adjustRightInd w:val="0"/>
              <w:snapToGrid w:val="0"/>
              <w:spacing w:line="280" w:lineRule="atLeast"/>
              <w:jc w:val="center"/>
              <w:rPr>
                <w:rFonts w:hint="eastAsia" w:ascii="仿宋" w:hAnsi="仿宋" w:eastAsia="仿宋" w:cs="仿宋"/>
                <w:color w:val="auto"/>
                <w:kern w:val="0"/>
                <w:sz w:val="24"/>
              </w:rPr>
            </w:pPr>
            <w:r>
              <w:rPr>
                <w:rFonts w:hint="eastAsia" w:ascii="仿宋" w:hAnsi="仿宋" w:eastAsia="仿宋" w:cs="仿宋"/>
                <w:color w:val="auto"/>
                <w:kern w:val="0"/>
                <w:sz w:val="24"/>
              </w:rPr>
              <w:t>大厅窗口</w:t>
            </w:r>
          </w:p>
          <w:p>
            <w:pPr>
              <w:adjustRightInd w:val="0"/>
              <w:snapToGrid w:val="0"/>
              <w:spacing w:line="280" w:lineRule="atLeast"/>
              <w:jc w:val="center"/>
              <w:rPr>
                <w:rFonts w:hint="eastAsia" w:ascii="仿宋" w:hAnsi="仿宋" w:eastAsia="仿宋" w:cs="仿宋"/>
                <w:color w:val="auto"/>
                <w:kern w:val="0"/>
                <w:sz w:val="24"/>
                <w:lang w:val="zh-CN"/>
              </w:rPr>
            </w:pPr>
            <w:r>
              <w:rPr>
                <w:rFonts w:hint="eastAsia" w:ascii="仿宋" w:hAnsi="仿宋" w:eastAsia="仿宋" w:cs="仿宋"/>
                <w:color w:val="auto"/>
                <w:kern w:val="0"/>
                <w:sz w:val="24"/>
                <w:lang w:eastAsia="zh-CN"/>
              </w:rPr>
              <w:t>王</w:t>
            </w:r>
            <w:r>
              <w:rPr>
                <w:rFonts w:hint="eastAsia" w:ascii="仿宋" w:hAnsi="仿宋" w:eastAsia="仿宋" w:cs="仿宋"/>
                <w:color w:val="auto"/>
                <w:kern w:val="0"/>
                <w:sz w:val="24"/>
                <w:lang w:val="en-US" w:eastAsia="zh-CN"/>
              </w:rPr>
              <w:t xml:space="preserve"> </w:t>
            </w:r>
            <w:r>
              <w:rPr>
                <w:rFonts w:hint="eastAsia" w:ascii="仿宋" w:hAnsi="仿宋" w:eastAsia="仿宋" w:cs="仿宋"/>
                <w:color w:val="auto"/>
                <w:kern w:val="0"/>
                <w:sz w:val="24"/>
                <w:lang w:eastAsia="zh-CN"/>
              </w:rPr>
              <w:t>雪</w:t>
            </w:r>
            <w:r>
              <w:rPr>
                <w:rFonts w:hint="eastAsia" w:ascii="仿宋" w:hAnsi="仿宋" w:eastAsia="仿宋" w:cs="仿宋"/>
                <w:color w:val="auto"/>
                <w:kern w:val="0"/>
                <w:sz w:val="24"/>
              </w:rPr>
              <w:t>1</w:t>
            </w:r>
            <w:r>
              <w:rPr>
                <w:rFonts w:hint="eastAsia" w:ascii="仿宋" w:hAnsi="仿宋" w:eastAsia="仿宋" w:cs="仿宋"/>
                <w:color w:val="auto"/>
                <w:kern w:val="0"/>
                <w:sz w:val="24"/>
                <w:lang w:val="en-US" w:eastAsia="zh-CN"/>
              </w:rPr>
              <w:t>8995290286</w:t>
            </w:r>
          </w:p>
        </w:tc>
        <w:tc>
          <w:tcPr>
            <w:tcW w:w="4377" w:type="dxa"/>
            <w:tcBorders>
              <w:top w:val="single" w:color="auto" w:sz="4" w:space="0"/>
              <w:left w:val="single" w:color="auto" w:sz="4" w:space="0"/>
              <w:bottom w:val="single" w:color="auto" w:sz="4" w:space="0"/>
              <w:right w:val="single" w:color="auto" w:sz="4" w:space="0"/>
            </w:tcBorders>
            <w:textDirection w:val="lrTb"/>
            <w:vAlign w:val="center"/>
          </w:tcPr>
          <w:p>
            <w:pPr>
              <w:adjustRightInd w:val="0"/>
              <w:snapToGrid w:val="0"/>
              <w:spacing w:line="280" w:lineRule="atLeast"/>
              <w:rPr>
                <w:rFonts w:hint="eastAsia" w:ascii="仿宋" w:hAnsi="仿宋" w:eastAsia="仿宋" w:cs="仿宋"/>
                <w:color w:val="auto"/>
                <w:kern w:val="0"/>
                <w:sz w:val="24"/>
                <w:lang w:val="zh-CN"/>
              </w:rPr>
            </w:pPr>
            <w:r>
              <w:rPr>
                <w:rFonts w:hint="eastAsia" w:ascii="仿宋" w:hAnsi="仿宋" w:eastAsia="仿宋" w:cs="仿宋"/>
                <w:color w:val="auto"/>
                <w:kern w:val="0"/>
                <w:sz w:val="24"/>
              </w:rPr>
              <w:t xml:space="preserve">    </w:t>
            </w:r>
            <w:r>
              <w:rPr>
                <w:rFonts w:hint="eastAsia" w:ascii="仿宋" w:hAnsi="仿宋" w:eastAsia="仿宋" w:cs="仿宋"/>
                <w:color w:val="auto"/>
                <w:kern w:val="0"/>
                <w:sz w:val="24"/>
                <w:lang w:val="zh-CN"/>
              </w:rPr>
              <w:t>对申请人申报材料的齐全性和合法性进行初审，对符合要求的申请予以受理并出具《受理通知书》；对申报材料不齐全或不符合法定形式的，出具《一次性告知通知书》；对不符合要求的，出具《不予受理通知书》。</w:t>
            </w:r>
          </w:p>
        </w:tc>
        <w:tc>
          <w:tcPr>
            <w:tcW w:w="1698"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left"/>
              <w:rPr>
                <w:rFonts w:hint="eastAsia" w:ascii="仿宋" w:hAnsi="仿宋" w:eastAsia="仿宋" w:cs="仿宋"/>
                <w:color w:val="auto"/>
                <w:kern w:val="0"/>
                <w:sz w:val="24"/>
                <w:lang w:val="zh-CN"/>
              </w:rPr>
            </w:pPr>
            <w:r>
              <w:rPr>
                <w:rFonts w:hint="eastAsia" w:ascii="仿宋" w:hAnsi="仿宋" w:eastAsia="仿宋" w:cs="仿宋"/>
                <w:color w:val="auto"/>
                <w:kern w:val="0"/>
                <w:sz w:val="24"/>
                <w:lang w:val="zh-CN"/>
              </w:rPr>
              <w:t>不计算在办理期限内</w:t>
            </w:r>
          </w:p>
        </w:tc>
      </w:tr>
      <w:tr>
        <w:tblPrEx>
          <w:tblLayout w:type="fixed"/>
          <w:tblCellMar>
            <w:top w:w="0" w:type="dxa"/>
            <w:left w:w="14" w:type="dxa"/>
            <w:bottom w:w="0" w:type="dxa"/>
            <w:right w:w="14" w:type="dxa"/>
          </w:tblCellMar>
        </w:tblPrEx>
        <w:trPr>
          <w:trHeight w:val="1355" w:hRule="atLeast"/>
        </w:trPr>
        <w:tc>
          <w:tcPr>
            <w:tcW w:w="1084" w:type="dxa"/>
            <w:vMerge w:val="restart"/>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center"/>
              <w:rPr>
                <w:rFonts w:hint="eastAsia" w:ascii="黑体" w:hAnsi="黑体" w:eastAsia="黑体" w:cs="黑体"/>
                <w:color w:val="auto"/>
                <w:kern w:val="0"/>
                <w:sz w:val="24"/>
                <w:lang w:val="zh-CN"/>
              </w:rPr>
            </w:pPr>
            <w:r>
              <w:rPr>
                <w:rFonts w:hint="eastAsia" w:ascii="黑体" w:hAnsi="黑体" w:eastAsia="黑体" w:cs="黑体"/>
                <w:color w:val="auto"/>
                <w:kern w:val="0"/>
                <w:sz w:val="24"/>
                <w:lang w:val="zh-CN"/>
              </w:rPr>
              <w:t>审查</w:t>
            </w:r>
          </w:p>
        </w:tc>
        <w:tc>
          <w:tcPr>
            <w:tcW w:w="1501" w:type="dxa"/>
            <w:tcBorders>
              <w:top w:val="single" w:color="auto" w:sz="4" w:space="0"/>
              <w:left w:val="single" w:color="auto" w:sz="4" w:space="0"/>
              <w:bottom w:val="single" w:color="auto" w:sz="4" w:space="0"/>
              <w:right w:val="single" w:color="auto" w:sz="4" w:space="0"/>
            </w:tcBorders>
            <w:textDirection w:val="lrTb"/>
            <w:vAlign w:val="center"/>
          </w:tcPr>
          <w:p>
            <w:pPr>
              <w:adjustRightInd w:val="0"/>
              <w:snapToGrid w:val="0"/>
              <w:spacing w:line="280" w:lineRule="atLeast"/>
              <w:jc w:val="center"/>
              <w:rPr>
                <w:rFonts w:hint="eastAsia" w:ascii="仿宋" w:hAnsi="仿宋" w:eastAsia="仿宋" w:cs="仿宋"/>
                <w:color w:val="auto"/>
                <w:kern w:val="0"/>
                <w:sz w:val="24"/>
              </w:rPr>
            </w:pPr>
            <w:r>
              <w:rPr>
                <w:rFonts w:hint="eastAsia" w:ascii="仿宋" w:hAnsi="仿宋" w:eastAsia="仿宋" w:cs="仿宋"/>
                <w:color w:val="auto"/>
                <w:kern w:val="0"/>
                <w:sz w:val="24"/>
              </w:rPr>
              <w:t>区教育体育局</w:t>
            </w:r>
          </w:p>
          <w:p>
            <w:pPr>
              <w:adjustRightInd w:val="0"/>
              <w:snapToGrid w:val="0"/>
              <w:spacing w:line="280" w:lineRule="atLeast"/>
              <w:jc w:val="center"/>
              <w:rPr>
                <w:rFonts w:hint="eastAsia" w:ascii="仿宋" w:hAnsi="仿宋" w:eastAsia="仿宋" w:cs="仿宋"/>
                <w:color w:val="auto"/>
                <w:kern w:val="0"/>
                <w:sz w:val="24"/>
              </w:rPr>
            </w:pPr>
            <w:r>
              <w:rPr>
                <w:rFonts w:hint="eastAsia" w:ascii="仿宋" w:hAnsi="仿宋" w:eastAsia="仿宋" w:cs="仿宋"/>
                <w:color w:val="auto"/>
                <w:kern w:val="0"/>
                <w:sz w:val="24"/>
                <w:lang w:eastAsia="zh-CN"/>
              </w:rPr>
              <w:t>基教室</w:t>
            </w:r>
          </w:p>
          <w:p>
            <w:pPr>
              <w:adjustRightInd w:val="0"/>
              <w:snapToGrid w:val="0"/>
              <w:spacing w:line="280" w:lineRule="atLeast"/>
              <w:jc w:val="center"/>
              <w:rPr>
                <w:rFonts w:hint="eastAsia" w:ascii="仿宋" w:hAnsi="仿宋" w:eastAsia="仿宋" w:cs="仿宋"/>
                <w:color w:val="auto"/>
                <w:sz w:val="24"/>
              </w:rPr>
            </w:pPr>
            <w:r>
              <w:rPr>
                <w:rFonts w:hint="eastAsia" w:ascii="仿宋" w:hAnsi="仿宋" w:eastAsia="仿宋" w:cs="仿宋"/>
                <w:color w:val="auto"/>
                <w:sz w:val="24"/>
                <w:lang w:eastAsia="zh-CN"/>
              </w:rPr>
              <w:t>王建国</w:t>
            </w:r>
            <w:r>
              <w:rPr>
                <w:rFonts w:hint="eastAsia" w:ascii="仿宋" w:hAnsi="仿宋" w:eastAsia="仿宋" w:cs="仿宋"/>
                <w:color w:val="auto"/>
                <w:sz w:val="24"/>
                <w:lang w:val="en-US" w:eastAsia="zh-CN"/>
              </w:rPr>
              <w:t>13995263812</w:t>
            </w:r>
          </w:p>
        </w:tc>
        <w:tc>
          <w:tcPr>
            <w:tcW w:w="4377" w:type="dxa"/>
            <w:tcBorders>
              <w:top w:val="single" w:color="auto" w:sz="4" w:space="0"/>
              <w:left w:val="single" w:color="auto" w:sz="4" w:space="0"/>
              <w:bottom w:val="single" w:color="auto" w:sz="4" w:space="0"/>
              <w:right w:val="single" w:color="auto" w:sz="4" w:space="0"/>
            </w:tcBorders>
            <w:textDirection w:val="lrTb"/>
            <w:vAlign w:val="center"/>
          </w:tcPr>
          <w:p>
            <w:pPr>
              <w:spacing w:line="360" w:lineRule="exact"/>
              <w:ind w:firstLine="480" w:firstLineChars="200"/>
              <w:jc w:val="left"/>
              <w:rPr>
                <w:rFonts w:hint="eastAsia" w:ascii="仿宋" w:hAnsi="仿宋" w:eastAsia="仿宋" w:cs="仿宋"/>
                <w:color w:val="auto"/>
                <w:sz w:val="24"/>
              </w:rPr>
            </w:pPr>
            <w:r>
              <w:rPr>
                <w:rFonts w:hint="eastAsia" w:ascii="仿宋" w:hAnsi="仿宋" w:eastAsia="仿宋" w:cs="仿宋"/>
                <w:color w:val="auto"/>
                <w:kern w:val="0"/>
                <w:sz w:val="24"/>
              </w:rPr>
              <w:t>对</w:t>
            </w:r>
            <w:r>
              <w:rPr>
                <w:rFonts w:hint="eastAsia" w:ascii="仿宋" w:hAnsi="仿宋" w:eastAsia="仿宋" w:cs="仿宋"/>
                <w:color w:val="auto"/>
                <w:kern w:val="0"/>
                <w:sz w:val="24"/>
                <w:lang w:eastAsia="zh-CN"/>
              </w:rPr>
              <w:t>民办非学历教育机构新修改的章程</w:t>
            </w:r>
            <w:r>
              <w:rPr>
                <w:rFonts w:hint="eastAsia" w:ascii="仿宋" w:hAnsi="仿宋" w:eastAsia="仿宋" w:cs="仿宋"/>
                <w:color w:val="auto"/>
                <w:kern w:val="0"/>
                <w:sz w:val="24"/>
              </w:rPr>
              <w:t>进行审查，在</w:t>
            </w:r>
            <w:r>
              <w:rPr>
                <w:rFonts w:hint="eastAsia" w:ascii="仿宋" w:hAnsi="仿宋" w:eastAsia="仿宋" w:cs="仿宋"/>
                <w:color w:val="auto"/>
                <w:kern w:val="0"/>
                <w:sz w:val="24"/>
                <w:lang w:val="en-US" w:eastAsia="zh-CN"/>
              </w:rPr>
              <w:t>5</w:t>
            </w:r>
            <w:r>
              <w:rPr>
                <w:rFonts w:hint="eastAsia" w:ascii="仿宋" w:hAnsi="仿宋" w:eastAsia="仿宋" w:cs="仿宋"/>
                <w:color w:val="auto"/>
                <w:kern w:val="0"/>
                <w:sz w:val="24"/>
              </w:rPr>
              <w:t>个工作日内提出意见，并送达局办公室。</w:t>
            </w:r>
          </w:p>
        </w:tc>
        <w:tc>
          <w:tcPr>
            <w:tcW w:w="1698"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left"/>
              <w:rPr>
                <w:rFonts w:hint="eastAsia" w:ascii="仿宋" w:hAnsi="仿宋" w:eastAsia="仿宋" w:cs="仿宋"/>
                <w:color w:val="auto"/>
                <w:kern w:val="0"/>
                <w:sz w:val="24"/>
                <w:lang w:val="zh-CN"/>
              </w:rPr>
            </w:pPr>
            <w:r>
              <w:rPr>
                <w:rFonts w:hint="eastAsia" w:ascii="仿宋" w:hAnsi="仿宋" w:eastAsia="仿宋" w:cs="仿宋"/>
                <w:color w:val="auto"/>
                <w:kern w:val="0"/>
                <w:sz w:val="24"/>
                <w:lang w:val="zh-CN"/>
              </w:rPr>
              <w:t>自窗口受理次日后第</w:t>
            </w:r>
            <w:r>
              <w:rPr>
                <w:rFonts w:hint="eastAsia" w:ascii="仿宋" w:hAnsi="仿宋" w:eastAsia="仿宋" w:cs="仿宋"/>
                <w:color w:val="auto"/>
                <w:kern w:val="0"/>
                <w:sz w:val="24"/>
                <w:lang w:val="en-US" w:eastAsia="zh-CN"/>
              </w:rPr>
              <w:t>5</w:t>
            </w:r>
            <w:r>
              <w:rPr>
                <w:rFonts w:hint="eastAsia" w:ascii="仿宋" w:hAnsi="仿宋" w:eastAsia="仿宋" w:cs="仿宋"/>
                <w:color w:val="auto"/>
                <w:kern w:val="0"/>
                <w:sz w:val="24"/>
                <w:lang w:val="zh-CN"/>
              </w:rPr>
              <w:t>个工作日完成</w:t>
            </w:r>
          </w:p>
        </w:tc>
      </w:tr>
      <w:tr>
        <w:tblPrEx>
          <w:tblLayout w:type="fixed"/>
          <w:tblCellMar>
            <w:top w:w="0" w:type="dxa"/>
            <w:left w:w="14" w:type="dxa"/>
            <w:bottom w:w="0" w:type="dxa"/>
            <w:right w:w="14" w:type="dxa"/>
          </w:tblCellMar>
        </w:tblPrEx>
        <w:trPr>
          <w:trHeight w:val="1355" w:hRule="atLeast"/>
        </w:trPr>
        <w:tc>
          <w:tcPr>
            <w:tcW w:w="1084" w:type="dxa"/>
            <w:vMerge w:val="continue"/>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center"/>
              <w:rPr>
                <w:rFonts w:hint="eastAsia" w:ascii="黑体" w:hAnsi="黑体" w:eastAsia="黑体" w:cs="黑体"/>
                <w:color w:val="auto"/>
                <w:kern w:val="0"/>
                <w:sz w:val="24"/>
                <w:lang w:val="zh-CN"/>
              </w:rPr>
            </w:pPr>
          </w:p>
        </w:tc>
        <w:tc>
          <w:tcPr>
            <w:tcW w:w="1501" w:type="dxa"/>
            <w:tcBorders>
              <w:top w:val="single" w:color="auto" w:sz="4" w:space="0"/>
              <w:left w:val="single" w:color="auto" w:sz="4" w:space="0"/>
              <w:bottom w:val="single" w:color="auto" w:sz="4" w:space="0"/>
              <w:right w:val="single" w:color="auto" w:sz="4" w:space="0"/>
            </w:tcBorders>
            <w:textDirection w:val="lrTb"/>
            <w:vAlign w:val="center"/>
          </w:tcPr>
          <w:p>
            <w:pPr>
              <w:adjustRightInd w:val="0"/>
              <w:snapToGrid w:val="0"/>
              <w:spacing w:line="280" w:lineRule="atLeast"/>
              <w:jc w:val="center"/>
              <w:rPr>
                <w:rFonts w:hint="eastAsia" w:ascii="仿宋" w:hAnsi="仿宋" w:eastAsia="仿宋" w:cs="仿宋"/>
                <w:color w:val="auto"/>
                <w:kern w:val="0"/>
                <w:sz w:val="24"/>
              </w:rPr>
            </w:pPr>
            <w:r>
              <w:rPr>
                <w:rFonts w:hint="eastAsia" w:ascii="仿宋" w:hAnsi="仿宋" w:eastAsia="仿宋" w:cs="仿宋"/>
                <w:color w:val="auto"/>
                <w:kern w:val="0"/>
                <w:sz w:val="24"/>
              </w:rPr>
              <w:t>区教育体育局</w:t>
            </w:r>
          </w:p>
          <w:p>
            <w:pPr>
              <w:adjustRightInd w:val="0"/>
              <w:snapToGrid w:val="0"/>
              <w:spacing w:line="280" w:lineRule="atLeast"/>
              <w:jc w:val="center"/>
              <w:rPr>
                <w:rFonts w:hint="eastAsia" w:ascii="仿宋" w:hAnsi="仿宋" w:eastAsia="仿宋" w:cs="仿宋"/>
                <w:color w:val="auto"/>
                <w:kern w:val="0"/>
                <w:sz w:val="24"/>
              </w:rPr>
            </w:pPr>
            <w:r>
              <w:rPr>
                <w:rFonts w:hint="eastAsia" w:ascii="仿宋" w:hAnsi="仿宋" w:eastAsia="仿宋" w:cs="仿宋"/>
                <w:color w:val="auto"/>
                <w:kern w:val="0"/>
                <w:sz w:val="24"/>
              </w:rPr>
              <w:t>办公室</w:t>
            </w:r>
          </w:p>
          <w:p>
            <w:pPr>
              <w:spacing w:line="360" w:lineRule="exact"/>
              <w:jc w:val="center"/>
              <w:rPr>
                <w:rFonts w:hint="eastAsia" w:ascii="仿宋" w:hAnsi="仿宋" w:eastAsia="仿宋" w:cs="仿宋"/>
                <w:color w:val="auto"/>
                <w:kern w:val="0"/>
                <w:sz w:val="24"/>
                <w:lang w:eastAsia="zh-CN"/>
              </w:rPr>
            </w:pPr>
            <w:r>
              <w:rPr>
                <w:rFonts w:hint="eastAsia" w:ascii="仿宋" w:hAnsi="仿宋" w:eastAsia="仿宋" w:cs="仿宋"/>
                <w:color w:val="auto"/>
                <w:kern w:val="0"/>
                <w:sz w:val="24"/>
                <w:lang w:eastAsia="zh-CN"/>
              </w:rPr>
              <w:t>张军</w:t>
            </w:r>
          </w:p>
          <w:p>
            <w:pPr>
              <w:spacing w:line="360" w:lineRule="exact"/>
              <w:jc w:val="center"/>
              <w:rPr>
                <w:rFonts w:hint="eastAsia" w:ascii="仿宋" w:hAnsi="仿宋" w:eastAsia="仿宋" w:cs="仿宋"/>
                <w:color w:val="auto"/>
                <w:sz w:val="24"/>
              </w:rPr>
            </w:pPr>
            <w:r>
              <w:rPr>
                <w:rFonts w:hint="eastAsia" w:ascii="仿宋" w:hAnsi="仿宋" w:eastAsia="仿宋" w:cs="仿宋"/>
                <w:color w:val="auto"/>
                <w:kern w:val="0"/>
                <w:sz w:val="24"/>
              </w:rPr>
              <w:t>1</w:t>
            </w:r>
            <w:r>
              <w:rPr>
                <w:rFonts w:hint="eastAsia" w:ascii="仿宋" w:hAnsi="仿宋" w:eastAsia="仿宋" w:cs="仿宋"/>
                <w:color w:val="auto"/>
                <w:kern w:val="0"/>
                <w:sz w:val="24"/>
                <w:lang w:val="en-US" w:eastAsia="zh-CN"/>
              </w:rPr>
              <w:t>8295021906</w:t>
            </w:r>
          </w:p>
        </w:tc>
        <w:tc>
          <w:tcPr>
            <w:tcW w:w="4377" w:type="dxa"/>
            <w:tcBorders>
              <w:top w:val="single" w:color="auto" w:sz="4" w:space="0"/>
              <w:left w:val="single" w:color="auto" w:sz="4" w:space="0"/>
              <w:bottom w:val="single" w:color="auto" w:sz="4" w:space="0"/>
              <w:right w:val="single" w:color="auto" w:sz="4" w:space="0"/>
            </w:tcBorders>
            <w:textDirection w:val="lrTb"/>
            <w:vAlign w:val="center"/>
          </w:tcPr>
          <w:p>
            <w:pPr>
              <w:spacing w:line="360" w:lineRule="exact"/>
              <w:ind w:firstLine="480" w:firstLineChars="200"/>
              <w:rPr>
                <w:rFonts w:hint="eastAsia" w:ascii="仿宋" w:hAnsi="仿宋" w:eastAsia="仿宋" w:cs="仿宋"/>
                <w:color w:val="auto"/>
                <w:sz w:val="24"/>
              </w:rPr>
            </w:pPr>
            <w:r>
              <w:rPr>
                <w:rFonts w:hint="eastAsia" w:ascii="仿宋" w:hAnsi="仿宋" w:eastAsia="仿宋"/>
                <w:color w:val="auto"/>
                <w:sz w:val="24"/>
              </w:rPr>
              <w:t>对申报人</w:t>
            </w:r>
            <w:r>
              <w:rPr>
                <w:rFonts w:hint="eastAsia" w:ascii="仿宋" w:hAnsi="仿宋" w:eastAsia="仿宋"/>
                <w:color w:val="auto"/>
                <w:sz w:val="24"/>
                <w:lang w:eastAsia="zh-CN"/>
              </w:rPr>
              <w:t>申报的修改章程和基教室提出的修改意见，</w:t>
            </w:r>
            <w:r>
              <w:rPr>
                <w:rFonts w:hint="eastAsia" w:ascii="仿宋" w:hAnsi="仿宋" w:eastAsia="仿宋" w:cs="宋体"/>
                <w:color w:val="auto"/>
                <w:kern w:val="0"/>
                <w:sz w:val="24"/>
              </w:rPr>
              <w:t>在3个工作日内完成汇总意见。</w:t>
            </w:r>
          </w:p>
        </w:tc>
        <w:tc>
          <w:tcPr>
            <w:tcW w:w="1698"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left"/>
              <w:rPr>
                <w:rFonts w:hint="eastAsia" w:ascii="仿宋" w:hAnsi="仿宋" w:eastAsia="仿宋" w:cs="仿宋"/>
                <w:color w:val="auto"/>
                <w:kern w:val="0"/>
                <w:sz w:val="24"/>
                <w:lang w:val="zh-CN"/>
              </w:rPr>
            </w:pPr>
            <w:r>
              <w:rPr>
                <w:rFonts w:hint="eastAsia" w:ascii="仿宋" w:hAnsi="仿宋" w:eastAsia="仿宋" w:cs="仿宋"/>
                <w:color w:val="auto"/>
                <w:kern w:val="0"/>
                <w:sz w:val="24"/>
                <w:lang w:val="zh-CN"/>
              </w:rPr>
              <w:t>自窗口受理次日后第</w:t>
            </w:r>
            <w:r>
              <w:rPr>
                <w:rFonts w:hint="eastAsia" w:ascii="仿宋" w:hAnsi="仿宋" w:eastAsia="仿宋" w:cs="仿宋"/>
                <w:color w:val="auto"/>
                <w:kern w:val="0"/>
                <w:sz w:val="24"/>
                <w:lang w:val="en-US" w:eastAsia="zh-CN"/>
              </w:rPr>
              <w:t>8</w:t>
            </w:r>
            <w:r>
              <w:rPr>
                <w:rFonts w:hint="eastAsia" w:ascii="仿宋" w:hAnsi="仿宋" w:eastAsia="仿宋" w:cs="仿宋"/>
                <w:color w:val="auto"/>
                <w:kern w:val="0"/>
                <w:sz w:val="24"/>
                <w:lang w:val="zh-CN"/>
              </w:rPr>
              <w:t>个工作日完成</w:t>
            </w:r>
          </w:p>
        </w:tc>
      </w:tr>
      <w:tr>
        <w:tblPrEx>
          <w:tblLayout w:type="fixed"/>
          <w:tblCellMar>
            <w:top w:w="0" w:type="dxa"/>
            <w:left w:w="14" w:type="dxa"/>
            <w:bottom w:w="0" w:type="dxa"/>
            <w:right w:w="14" w:type="dxa"/>
          </w:tblCellMar>
        </w:tblPrEx>
        <w:trPr>
          <w:trHeight w:val="1256" w:hRule="atLeast"/>
        </w:trPr>
        <w:tc>
          <w:tcPr>
            <w:tcW w:w="1084"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center"/>
              <w:rPr>
                <w:rFonts w:hint="eastAsia" w:ascii="黑体" w:hAnsi="黑体" w:eastAsia="黑体" w:cs="黑体"/>
                <w:color w:val="auto"/>
                <w:kern w:val="0"/>
                <w:sz w:val="24"/>
                <w:lang w:val="zh-CN"/>
              </w:rPr>
            </w:pPr>
            <w:r>
              <w:rPr>
                <w:rFonts w:hint="eastAsia" w:ascii="黑体" w:hAnsi="黑体" w:eastAsia="黑体" w:cs="黑体"/>
                <w:color w:val="auto"/>
                <w:kern w:val="0"/>
                <w:sz w:val="24"/>
                <w:lang w:val="zh-CN"/>
              </w:rPr>
              <w:t>决定</w:t>
            </w:r>
          </w:p>
        </w:tc>
        <w:tc>
          <w:tcPr>
            <w:tcW w:w="1501" w:type="dxa"/>
            <w:tcBorders>
              <w:top w:val="single" w:color="auto" w:sz="4" w:space="0"/>
              <w:left w:val="single" w:color="auto" w:sz="4" w:space="0"/>
              <w:bottom w:val="single" w:color="auto" w:sz="4" w:space="0"/>
              <w:right w:val="single" w:color="auto" w:sz="4" w:space="0"/>
            </w:tcBorders>
            <w:textDirection w:val="lrTb"/>
            <w:vAlign w:val="center"/>
          </w:tcPr>
          <w:p>
            <w:pPr>
              <w:adjustRightInd w:val="0"/>
              <w:snapToGrid w:val="0"/>
              <w:spacing w:line="280" w:lineRule="atLeast"/>
              <w:jc w:val="center"/>
              <w:rPr>
                <w:rFonts w:hint="eastAsia" w:ascii="仿宋" w:hAnsi="仿宋" w:eastAsia="仿宋" w:cs="仿宋"/>
                <w:color w:val="auto"/>
                <w:kern w:val="0"/>
                <w:sz w:val="24"/>
              </w:rPr>
            </w:pPr>
            <w:r>
              <w:rPr>
                <w:rFonts w:hint="eastAsia" w:ascii="仿宋" w:hAnsi="仿宋" w:eastAsia="仿宋" w:cs="仿宋"/>
                <w:color w:val="auto"/>
                <w:kern w:val="0"/>
                <w:sz w:val="24"/>
              </w:rPr>
              <w:t>区教育体育局</w:t>
            </w:r>
          </w:p>
          <w:p>
            <w:pPr>
              <w:adjustRightInd w:val="0"/>
              <w:snapToGrid w:val="0"/>
              <w:spacing w:line="280" w:lineRule="atLeast"/>
              <w:jc w:val="center"/>
              <w:rPr>
                <w:rFonts w:hint="eastAsia" w:ascii="仿宋" w:hAnsi="仿宋" w:eastAsia="仿宋" w:cs="仿宋"/>
                <w:color w:val="auto"/>
                <w:kern w:val="0"/>
                <w:sz w:val="24"/>
                <w:lang w:val="zh-CN"/>
              </w:rPr>
            </w:pPr>
            <w:r>
              <w:rPr>
                <w:rFonts w:hint="eastAsia" w:ascii="仿宋" w:hAnsi="仿宋" w:eastAsia="仿宋" w:cs="仿宋"/>
                <w:color w:val="auto"/>
                <w:kern w:val="0"/>
                <w:sz w:val="24"/>
                <w:lang w:val="zh-CN"/>
              </w:rPr>
              <w:t>万东旺</w:t>
            </w:r>
            <w:r>
              <w:rPr>
                <w:rFonts w:hint="eastAsia" w:ascii="仿宋" w:hAnsi="仿宋" w:eastAsia="仿宋" w:cs="仿宋"/>
                <w:color w:val="auto"/>
                <w:kern w:val="0"/>
                <w:sz w:val="24"/>
                <w:lang w:val="en-US" w:eastAsia="zh-CN"/>
              </w:rPr>
              <w:t>18095209868</w:t>
            </w:r>
          </w:p>
        </w:tc>
        <w:tc>
          <w:tcPr>
            <w:tcW w:w="4377"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left"/>
              <w:rPr>
                <w:rFonts w:hint="eastAsia" w:ascii="仿宋" w:hAnsi="仿宋" w:eastAsia="仿宋" w:cs="仿宋"/>
                <w:color w:val="auto"/>
                <w:kern w:val="0"/>
                <w:sz w:val="24"/>
                <w:lang w:val="zh-CN"/>
              </w:rPr>
            </w:pPr>
            <w:r>
              <w:rPr>
                <w:rFonts w:hint="eastAsia" w:ascii="仿宋" w:hAnsi="仿宋" w:eastAsia="仿宋"/>
                <w:color w:val="auto"/>
                <w:sz w:val="24"/>
              </w:rPr>
              <w:t xml:space="preserve">    签发《审查意见书》，在2个工作日完成。</w:t>
            </w:r>
          </w:p>
        </w:tc>
        <w:tc>
          <w:tcPr>
            <w:tcW w:w="1698"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left"/>
              <w:rPr>
                <w:rFonts w:hint="eastAsia" w:ascii="仿宋" w:hAnsi="仿宋" w:eastAsia="仿宋" w:cs="仿宋"/>
                <w:color w:val="auto"/>
                <w:kern w:val="0"/>
                <w:sz w:val="24"/>
                <w:lang w:val="zh-CN"/>
              </w:rPr>
            </w:pPr>
            <w:r>
              <w:rPr>
                <w:rFonts w:hint="eastAsia" w:ascii="仿宋" w:hAnsi="仿宋" w:eastAsia="仿宋" w:cs="仿宋"/>
                <w:color w:val="auto"/>
                <w:kern w:val="0"/>
                <w:sz w:val="24"/>
                <w:lang w:val="zh-CN"/>
              </w:rPr>
              <w:t>自窗口受理次日后第</w:t>
            </w:r>
            <w:r>
              <w:rPr>
                <w:rFonts w:hint="eastAsia" w:ascii="仿宋" w:hAnsi="仿宋" w:eastAsia="仿宋" w:cs="仿宋"/>
                <w:color w:val="auto"/>
                <w:kern w:val="0"/>
                <w:sz w:val="24"/>
                <w:lang w:val="en-US" w:eastAsia="zh-CN"/>
              </w:rPr>
              <w:t>10</w:t>
            </w:r>
            <w:r>
              <w:rPr>
                <w:rFonts w:hint="eastAsia" w:ascii="仿宋" w:hAnsi="仿宋" w:eastAsia="仿宋" w:cs="仿宋"/>
                <w:color w:val="auto"/>
                <w:kern w:val="0"/>
                <w:sz w:val="24"/>
                <w:lang w:val="zh-CN"/>
              </w:rPr>
              <w:t>个工作日完成</w:t>
            </w:r>
          </w:p>
        </w:tc>
      </w:tr>
      <w:tr>
        <w:tblPrEx>
          <w:tblLayout w:type="fixed"/>
          <w:tblCellMar>
            <w:top w:w="0" w:type="dxa"/>
            <w:left w:w="14" w:type="dxa"/>
            <w:bottom w:w="0" w:type="dxa"/>
            <w:right w:w="14" w:type="dxa"/>
          </w:tblCellMar>
        </w:tblPrEx>
        <w:trPr>
          <w:trHeight w:val="1110" w:hRule="atLeast"/>
        </w:trPr>
        <w:tc>
          <w:tcPr>
            <w:tcW w:w="1084"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center"/>
              <w:rPr>
                <w:rFonts w:hint="eastAsia" w:ascii="黑体" w:hAnsi="黑体" w:eastAsia="黑体" w:cs="黑体"/>
                <w:color w:val="auto"/>
                <w:kern w:val="0"/>
                <w:sz w:val="24"/>
                <w:lang w:val="zh-CN"/>
              </w:rPr>
            </w:pPr>
            <w:r>
              <w:rPr>
                <w:rFonts w:hint="eastAsia" w:ascii="黑体" w:hAnsi="黑体" w:eastAsia="黑体" w:cs="黑体"/>
                <w:color w:val="auto"/>
                <w:kern w:val="0"/>
                <w:sz w:val="24"/>
                <w:lang w:val="zh-CN"/>
              </w:rPr>
              <w:t>送达</w:t>
            </w:r>
          </w:p>
        </w:tc>
        <w:tc>
          <w:tcPr>
            <w:tcW w:w="1501" w:type="dxa"/>
            <w:tcBorders>
              <w:top w:val="single" w:color="auto" w:sz="4" w:space="0"/>
              <w:left w:val="single" w:color="auto" w:sz="4" w:space="0"/>
              <w:bottom w:val="single" w:color="auto" w:sz="4" w:space="0"/>
              <w:right w:val="single" w:color="auto" w:sz="4" w:space="0"/>
            </w:tcBorders>
            <w:textDirection w:val="lrTb"/>
            <w:vAlign w:val="center"/>
          </w:tcPr>
          <w:p>
            <w:pPr>
              <w:adjustRightInd w:val="0"/>
              <w:snapToGrid w:val="0"/>
              <w:spacing w:line="280" w:lineRule="atLeast"/>
              <w:jc w:val="center"/>
              <w:rPr>
                <w:rFonts w:hint="eastAsia" w:ascii="仿宋" w:hAnsi="仿宋" w:eastAsia="仿宋" w:cs="仿宋"/>
                <w:color w:val="auto"/>
                <w:kern w:val="0"/>
                <w:sz w:val="24"/>
              </w:rPr>
            </w:pPr>
            <w:r>
              <w:rPr>
                <w:rFonts w:hint="eastAsia" w:ascii="仿宋" w:hAnsi="仿宋" w:eastAsia="仿宋" w:cs="仿宋"/>
                <w:color w:val="auto"/>
                <w:kern w:val="0"/>
                <w:sz w:val="24"/>
              </w:rPr>
              <w:t>政务服务</w:t>
            </w:r>
          </w:p>
          <w:p>
            <w:pPr>
              <w:adjustRightInd w:val="0"/>
              <w:snapToGrid w:val="0"/>
              <w:spacing w:line="280" w:lineRule="atLeast"/>
              <w:jc w:val="center"/>
              <w:rPr>
                <w:rFonts w:hint="eastAsia" w:ascii="仿宋" w:hAnsi="仿宋" w:eastAsia="仿宋" w:cs="仿宋"/>
                <w:color w:val="auto"/>
                <w:kern w:val="0"/>
                <w:sz w:val="24"/>
              </w:rPr>
            </w:pPr>
            <w:r>
              <w:rPr>
                <w:rFonts w:hint="eastAsia" w:ascii="仿宋" w:hAnsi="仿宋" w:eastAsia="仿宋" w:cs="仿宋"/>
                <w:color w:val="auto"/>
                <w:kern w:val="0"/>
                <w:sz w:val="24"/>
              </w:rPr>
              <w:t>大厅窗口</w:t>
            </w:r>
          </w:p>
          <w:p>
            <w:pPr>
              <w:adjustRightInd w:val="0"/>
              <w:snapToGrid w:val="0"/>
              <w:spacing w:line="280" w:lineRule="atLeast"/>
              <w:jc w:val="center"/>
              <w:rPr>
                <w:rFonts w:hint="eastAsia" w:ascii="仿宋" w:hAnsi="仿宋" w:eastAsia="仿宋" w:cs="仿宋"/>
                <w:color w:val="auto"/>
                <w:kern w:val="0"/>
                <w:sz w:val="24"/>
              </w:rPr>
            </w:pPr>
            <w:r>
              <w:rPr>
                <w:rFonts w:hint="eastAsia" w:ascii="仿宋" w:hAnsi="仿宋" w:eastAsia="仿宋" w:cs="仿宋"/>
                <w:color w:val="auto"/>
                <w:kern w:val="0"/>
                <w:sz w:val="24"/>
                <w:lang w:eastAsia="zh-CN"/>
              </w:rPr>
              <w:t>王</w:t>
            </w:r>
            <w:r>
              <w:rPr>
                <w:rFonts w:hint="eastAsia" w:ascii="仿宋" w:hAnsi="仿宋" w:eastAsia="仿宋" w:cs="仿宋"/>
                <w:color w:val="auto"/>
                <w:kern w:val="0"/>
                <w:sz w:val="24"/>
                <w:lang w:val="en-US" w:eastAsia="zh-CN"/>
              </w:rPr>
              <w:t xml:space="preserve"> </w:t>
            </w:r>
            <w:r>
              <w:rPr>
                <w:rFonts w:hint="eastAsia" w:ascii="仿宋" w:hAnsi="仿宋" w:eastAsia="仿宋" w:cs="仿宋"/>
                <w:color w:val="auto"/>
                <w:kern w:val="0"/>
                <w:sz w:val="24"/>
                <w:lang w:eastAsia="zh-CN"/>
              </w:rPr>
              <w:t>雪</w:t>
            </w:r>
            <w:r>
              <w:rPr>
                <w:rFonts w:hint="eastAsia" w:ascii="仿宋" w:hAnsi="仿宋" w:eastAsia="仿宋" w:cs="仿宋"/>
                <w:color w:val="auto"/>
                <w:kern w:val="0"/>
                <w:sz w:val="24"/>
              </w:rPr>
              <w:t>1</w:t>
            </w:r>
            <w:r>
              <w:rPr>
                <w:rFonts w:hint="eastAsia" w:ascii="仿宋" w:hAnsi="仿宋" w:eastAsia="仿宋" w:cs="仿宋"/>
                <w:color w:val="auto"/>
                <w:kern w:val="0"/>
                <w:sz w:val="24"/>
                <w:lang w:val="en-US" w:eastAsia="zh-CN"/>
              </w:rPr>
              <w:t>8995290286</w:t>
            </w:r>
          </w:p>
        </w:tc>
        <w:tc>
          <w:tcPr>
            <w:tcW w:w="4377"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ind w:firstLine="480" w:firstLineChars="0"/>
              <w:jc w:val="left"/>
              <w:rPr>
                <w:rFonts w:hint="eastAsia" w:ascii="仿宋" w:hAnsi="仿宋" w:eastAsia="仿宋" w:cs="仿宋"/>
                <w:color w:val="auto"/>
                <w:kern w:val="0"/>
                <w:sz w:val="24"/>
                <w:lang w:val="zh-CN"/>
              </w:rPr>
            </w:pPr>
            <w:r>
              <w:rPr>
                <w:rFonts w:hint="eastAsia" w:ascii="仿宋" w:hAnsi="仿宋" w:eastAsia="仿宋" w:cs="仿宋"/>
                <w:color w:val="auto"/>
                <w:kern w:val="0"/>
                <w:sz w:val="24"/>
                <w:lang w:val="zh-CN"/>
              </w:rPr>
              <w:t>对批准修改的办学章程出具《办结通知书》；对不批准申请的出具《不予批准通知书》。</w:t>
            </w:r>
          </w:p>
        </w:tc>
        <w:tc>
          <w:tcPr>
            <w:tcW w:w="1698" w:type="dxa"/>
            <w:tcBorders>
              <w:top w:val="single" w:color="auto" w:sz="4" w:space="0"/>
              <w:left w:val="single" w:color="auto" w:sz="4" w:space="0"/>
              <w:bottom w:val="single" w:color="auto" w:sz="4" w:space="0"/>
              <w:right w:val="single" w:color="auto" w:sz="4" w:space="0"/>
            </w:tcBorders>
            <w:textDirection w:val="lrTb"/>
            <w:vAlign w:val="center"/>
          </w:tcPr>
          <w:p>
            <w:pPr>
              <w:autoSpaceDE w:val="0"/>
              <w:autoSpaceDN w:val="0"/>
              <w:adjustRightInd w:val="0"/>
              <w:snapToGrid w:val="0"/>
              <w:spacing w:line="400" w:lineRule="atLeast"/>
              <w:jc w:val="left"/>
              <w:rPr>
                <w:rFonts w:hint="eastAsia" w:ascii="仿宋" w:hAnsi="仿宋" w:eastAsia="仿宋" w:cs="仿宋"/>
                <w:color w:val="auto"/>
                <w:kern w:val="0"/>
                <w:sz w:val="24"/>
                <w:lang w:val="zh-CN"/>
              </w:rPr>
            </w:pPr>
            <w:r>
              <w:rPr>
                <w:rFonts w:hint="eastAsia" w:ascii="仿宋" w:hAnsi="仿宋" w:eastAsia="仿宋" w:cs="仿宋"/>
                <w:color w:val="auto"/>
                <w:kern w:val="0"/>
                <w:sz w:val="24"/>
                <w:lang w:val="zh-CN"/>
              </w:rPr>
              <w:t>不计算在办理期限内 </w:t>
            </w:r>
          </w:p>
        </w:tc>
      </w:tr>
      <w:tr>
        <w:tblPrEx>
          <w:tblLayout w:type="fixed"/>
          <w:tblCellMar>
            <w:top w:w="0" w:type="dxa"/>
            <w:left w:w="14" w:type="dxa"/>
            <w:bottom w:w="0" w:type="dxa"/>
            <w:right w:w="14" w:type="dxa"/>
          </w:tblCellMar>
        </w:tblPrEx>
        <w:trPr>
          <w:trHeight w:val="1392" w:hRule="atLeast"/>
        </w:trPr>
        <w:tc>
          <w:tcPr>
            <w:tcW w:w="108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400" w:lineRule="atLeast"/>
              <w:jc w:val="center"/>
              <w:rPr>
                <w:rFonts w:hint="eastAsia" w:ascii="黑体" w:hAnsi="黑体" w:eastAsia="黑体" w:cs="黑体"/>
                <w:kern w:val="0"/>
                <w:sz w:val="24"/>
                <w:lang w:val="zh-CN"/>
              </w:rPr>
            </w:pPr>
            <w:r>
              <w:rPr>
                <w:rFonts w:hint="eastAsia" w:ascii="黑体" w:hAnsi="黑体" w:eastAsia="黑体" w:cs="黑体"/>
                <w:color w:val="000000"/>
                <w:kern w:val="0"/>
                <w:sz w:val="24"/>
                <w:lang w:val="zh-CN"/>
              </w:rPr>
              <w:t>备  注</w:t>
            </w:r>
          </w:p>
        </w:tc>
        <w:tc>
          <w:tcPr>
            <w:tcW w:w="7576" w:type="dxa"/>
            <w:gridSpan w:val="3"/>
            <w:tcBorders>
              <w:top w:val="single" w:color="auto" w:sz="4" w:space="0"/>
              <w:left w:val="single" w:color="auto" w:sz="4" w:space="0"/>
              <w:bottom w:val="single" w:color="auto" w:sz="4" w:space="0"/>
              <w:right w:val="single" w:color="auto" w:sz="4" w:space="0"/>
            </w:tcBorders>
            <w:vAlign w:val="center"/>
          </w:tcPr>
          <w:p>
            <w:pPr>
              <w:numPr>
                <w:ilvl w:val="0"/>
                <w:numId w:val="1"/>
              </w:numPr>
              <w:autoSpaceDE w:val="0"/>
              <w:autoSpaceDN w:val="0"/>
              <w:adjustRightInd w:val="0"/>
              <w:snapToGrid w:val="0"/>
              <w:spacing w:line="400" w:lineRule="atLeast"/>
              <w:ind w:firstLine="480"/>
              <w:rPr>
                <w:rFonts w:hint="eastAsia" w:ascii="仿宋" w:hAnsi="仿宋" w:eastAsia="仿宋" w:cs="仿宋"/>
                <w:color w:val="000000"/>
                <w:kern w:val="0"/>
                <w:sz w:val="24"/>
                <w:lang w:val="zh-CN"/>
              </w:rPr>
            </w:pPr>
            <w:r>
              <w:rPr>
                <w:rFonts w:hint="eastAsia" w:ascii="仿宋" w:hAnsi="仿宋" w:eastAsia="仿宋" w:cs="仿宋"/>
                <w:color w:val="000000"/>
                <w:kern w:val="0"/>
                <w:sz w:val="24"/>
                <w:lang w:val="zh-CN"/>
              </w:rPr>
              <w:t>法定办理期限为</w:t>
            </w:r>
            <w:r>
              <w:rPr>
                <w:rFonts w:hint="eastAsia" w:ascii="仿宋" w:hAnsi="仿宋" w:eastAsia="仿宋" w:cs="仿宋"/>
                <w:kern w:val="0"/>
                <w:sz w:val="24"/>
                <w:lang w:val="en-US" w:eastAsia="zh-CN"/>
              </w:rPr>
              <w:t>x</w:t>
            </w:r>
            <w:r>
              <w:rPr>
                <w:rFonts w:hint="eastAsia" w:ascii="仿宋" w:hAnsi="仿宋" w:eastAsia="仿宋" w:cs="仿宋"/>
                <w:color w:val="000000"/>
                <w:kern w:val="0"/>
                <w:sz w:val="24"/>
                <w:lang w:val="zh-CN"/>
              </w:rPr>
              <w:t>个工作日，承诺办理期限为</w:t>
            </w:r>
            <w:r>
              <w:rPr>
                <w:rFonts w:hint="eastAsia" w:ascii="仿宋" w:hAnsi="仿宋" w:eastAsia="仿宋" w:cs="仿宋"/>
                <w:kern w:val="0"/>
                <w:sz w:val="24"/>
                <w:lang w:val="en-US" w:eastAsia="zh-CN"/>
              </w:rPr>
              <w:t>x</w:t>
            </w:r>
            <w:r>
              <w:rPr>
                <w:rFonts w:hint="eastAsia" w:ascii="仿宋" w:hAnsi="仿宋" w:eastAsia="仿宋" w:cs="仿宋"/>
                <w:color w:val="000000"/>
                <w:kern w:val="0"/>
                <w:sz w:val="24"/>
                <w:lang w:val="zh-CN"/>
              </w:rPr>
              <w:t>个工作日。</w:t>
            </w:r>
          </w:p>
          <w:p>
            <w:pPr>
              <w:numPr>
                <w:ilvl w:val="0"/>
                <w:numId w:val="1"/>
              </w:numPr>
              <w:autoSpaceDE w:val="0"/>
              <w:autoSpaceDN w:val="0"/>
              <w:adjustRightInd w:val="0"/>
              <w:snapToGrid w:val="0"/>
              <w:spacing w:line="400" w:lineRule="atLeast"/>
              <w:ind w:firstLine="480"/>
              <w:rPr>
                <w:rFonts w:hint="eastAsia" w:ascii="仿宋" w:hAnsi="仿宋" w:eastAsia="仿宋" w:cs="仿宋"/>
                <w:color w:val="000000"/>
                <w:kern w:val="0"/>
                <w:sz w:val="24"/>
                <w:lang w:val="zh-CN"/>
              </w:rPr>
            </w:pPr>
            <w:r>
              <w:rPr>
                <w:rFonts w:hint="eastAsia" w:ascii="仿宋" w:hAnsi="仿宋" w:eastAsia="仿宋" w:cs="仿宋"/>
                <w:color w:val="000000"/>
                <w:kern w:val="0"/>
                <w:sz w:val="24"/>
                <w:lang w:val="en-US" w:eastAsia="zh-CN"/>
              </w:rPr>
              <w:t>......</w:t>
            </w:r>
          </w:p>
        </w:tc>
      </w:tr>
    </w:tbl>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jc w:val="both"/>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注：1.每项公共服务事项均按照实际办理情况，按程序以此填入本表。</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400" w:lineRule="exact"/>
        <w:ind w:right="0" w:rightChars="0"/>
        <w:jc w:val="both"/>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2.“办理时限“是指每一个环节所用时限，承诺办理期限是指本事项办理的总时限。</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400" w:lineRule="exact"/>
        <w:ind w:leftChars="200" w:right="0" w:rightChars="0"/>
        <w:jc w:val="both"/>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3.本表与附件3配套使用。</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Palatino Linotype"/>
    <w:panose1 w:val="02040503050406030204"/>
    <w:charset w:val="00"/>
    <w:family w:val="roman"/>
    <w:pitch w:val="default"/>
    <w:sig w:usb0="00000000" w:usb1="00000000" w:usb2="00000000" w:usb3="00000000" w:csb0="0000019F" w:csb1="00000000"/>
  </w:font>
  <w:font w:name="Calibri">
    <w:altName w:val="Lucida Sans Unicode"/>
    <w:panose1 w:val="020F0502020204030204"/>
    <w:charset w:val="00"/>
    <w:family w:val="swiss"/>
    <w:pitch w:val="default"/>
    <w:sig w:usb0="00000000" w:usb1="00000000" w:usb2="00000001" w:usb3="00000000" w:csb0="0000019F" w:csb1="00000000"/>
  </w:font>
  <w:font w:name="Lucida Sans Unicode">
    <w:panose1 w:val="020B0602030504020204"/>
    <w:charset w:val="00"/>
    <w:family w:val="auto"/>
    <w:pitch w:val="default"/>
    <w:sig w:usb0="80001AFF" w:usb1="0000396B" w:usb2="00000000" w:usb3="00000000" w:csb0="0000003F" w:csb1="D7F70000"/>
  </w:font>
  <w:font w:name="仿宋">
    <w:altName w:val="宋体"/>
    <w:panose1 w:val="02010609060101010101"/>
    <w:charset w:val="86"/>
    <w:family w:val="modern"/>
    <w:pitch w:val="default"/>
    <w:sig w:usb0="00000000" w:usb1="00000000" w:usb2="0000001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 w:name="Palatino Linotype">
    <w:panose1 w:val="02040502050505030304"/>
    <w:charset w:val="00"/>
    <w:family w:val="auto"/>
    <w:pitch w:val="default"/>
    <w:sig w:usb0="E0000387" w:usb1="40000013"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auto"/>
    <w:pitch w:val="default"/>
    <w:sig w:usb0="00007A87" w:usb1="80000000" w:usb2="00000008" w:usb3="00000000" w:csb0="400001FF" w:csb1="FFFF0000"/>
  </w:font>
  <w:font w:name="Microsoft YaHei">
    <w:altName w:val="MingLiU"/>
    <w:panose1 w:val="00000000000000000000"/>
    <w:charset w:val="00"/>
    <w:family w:val="auto"/>
    <w:pitch w:val="default"/>
    <w:sig w:usb0="00000000" w:usb1="00000000" w:usb2="00000000" w:usb3="00000000" w:csb0="00000000" w:csb1="00000000"/>
  </w:font>
  <w:font w:name="Courier New">
    <w:panose1 w:val="02070309020205020404"/>
    <w:charset w:val="00"/>
    <w:family w:val="auto"/>
    <w:pitch w:val="default"/>
    <w:sig w:usb0="00007A87" w:usb1="80000000" w:usb2="00000008" w:usb3="00000000" w:csb0="400001FF" w:csb1="FFFF0000"/>
  </w:font>
  <w:font w:name="微软雅黑">
    <w:altName w:val="黑体"/>
    <w:panose1 w:val="00000000000000000000"/>
    <w:charset w:val="00"/>
    <w:family w:val="auto"/>
    <w:pitch w:val="default"/>
    <w:sig w:usb0="00000000" w:usb1="00000000" w:usb2="00000000" w:usb3="00000000" w:csb0="00000000" w:csb1="00000000"/>
  </w:font>
  <w:font w:name="仿宋">
    <w:altName w:val="仿宋_GB2312"/>
    <w:panose1 w:val="00000000000000000000"/>
    <w:charset w:val="00"/>
    <w:family w:val="auto"/>
    <w:pitch w:val="default"/>
    <w:sig w:usb0="00000000" w:usb1="00000000" w:usb2="00000000" w:usb3="00000000" w:csb0="00000000" w:csb1="00000000"/>
  </w:font>
  <w:font w:name="Microsoft Sans Serif">
    <w:panose1 w:val="020B0604020202020204"/>
    <w:charset w:val="00"/>
    <w:family w:val="auto"/>
    <w:pitch w:val="default"/>
    <w:sig w:usb0="61007BDF" w:usb1="80000000" w:usb2="00000008" w:usb3="00000000" w:csb0="200101FF" w:csb1="20280000"/>
  </w:font>
  <w:font w:name="Arial Narrow">
    <w:altName w:val="Arial"/>
    <w:panose1 w:val="020B0606020202030204"/>
    <w:charset w:val="00"/>
    <w:family w:val="auto"/>
    <w:pitch w:val="default"/>
    <w:sig w:usb0="00000000" w:usb1="00000000" w:usb2="00000000" w:usb3="00000000" w:csb0="2000009F" w:csb1="DFD70000"/>
  </w:font>
  <w:font w:name="Arial Narrow">
    <w:altName w:val="Arial"/>
    <w:panose1 w:val="020B0606020202030204"/>
    <w:charset w:val="01"/>
    <w:family w:val="swiss"/>
    <w:pitch w:val="default"/>
    <w:sig w:usb0="00000000" w:usb1="00000000" w:usb2="00000000" w:usb3="00000000" w:csb0="2000009F" w:csb1="DFD70000"/>
  </w:font>
  <w:font w:name="Wingdings 2">
    <w:altName w:val="Wingdings"/>
    <w:panose1 w:val="05020102010507070707"/>
    <w:charset w:val="00"/>
    <w:family w:val="auto"/>
    <w:pitch w:val="default"/>
    <w:sig w:usb0="00000000" w:usb1="00000000" w:usb2="00000000" w:usb3="00000000" w:csb0="80000000" w:csb1="00000000"/>
  </w:font>
  <w:font w:name="Bookshelf Symbol 7">
    <w:altName w:val="Symbol"/>
    <w:panose1 w:val="05010101010101010101"/>
    <w:charset w:val="00"/>
    <w:family w:val="auto"/>
    <w:pitch w:val="default"/>
    <w:sig w:usb0="00000000" w:usb1="00000000" w:usb2="00000000" w:usb3="00000000" w:csb0="80000000" w:csb1="00000000"/>
  </w:font>
  <w:font w:name="PMingLiU">
    <w:panose1 w:val="02020300000000000000"/>
    <w:charset w:val="88"/>
    <w:family w:val="auto"/>
    <w:pitch w:val="default"/>
    <w:sig w:usb0="00000003" w:usb1="082E0000" w:usb2="00000016" w:usb3="00000000" w:csb0="00100001" w:csb1="00000000"/>
  </w:font>
  <w:font w:name="MS Reference Sans Serif">
    <w:altName w:val="Verdana"/>
    <w:panose1 w:val="020B0604030504040204"/>
    <w:charset w:val="00"/>
    <w:family w:val="auto"/>
    <w:pitch w:val="default"/>
    <w:sig w:usb0="00000000" w:usb1="00000000" w:usb2="00000000" w:usb3="00000000" w:csb0="2000019F" w:csb1="00000000"/>
  </w:font>
  <w:font w:name="Book Antiqua">
    <w:altName w:val="Palatino Linotype"/>
    <w:panose1 w:val="02040602050305030304"/>
    <w:charset w:val="00"/>
    <w:family w:val="auto"/>
    <w:pitch w:val="default"/>
    <w:sig w:usb0="00000000" w:usb1="00000000" w:usb2="00000000" w:usb3="00000000" w:csb0="2000009F" w:csb1="DFD70000"/>
  </w:font>
  <w:font w:name="MingLiU">
    <w:panose1 w:val="02020309000000000000"/>
    <w:charset w:val="88"/>
    <w:family w:val="auto"/>
    <w:pitch w:val="default"/>
    <w:sig w:usb0="00000003" w:usb1="082E0000" w:usb2="00000016" w:usb3="00000000" w:csb0="00100001" w:csb1="00000000"/>
  </w:font>
  <w:font w:name="Bookman Old Style">
    <w:altName w:val="Georgia"/>
    <w:panose1 w:val="02050604050505020204"/>
    <w:charset w:val="00"/>
    <w:family w:val="auto"/>
    <w:pitch w:val="default"/>
    <w:sig w:usb0="00000000" w:usb1="00000000" w:usb2="00000000" w:usb3="00000000" w:csb0="2000009F" w:csb1="DFD70000"/>
  </w:font>
  <w:font w:name="Wingdings">
    <w:panose1 w:val="05000000000000000000"/>
    <w:charset w:val="00"/>
    <w:family w:val="auto"/>
    <w:pitch w:val="default"/>
    <w:sig w:usb0="00000000" w:usb1="00000000" w:usb2="00000000" w:usb3="00000000" w:csb0="80000000" w:csb1="00000000"/>
  </w:font>
  <w:font w:name="Symbol">
    <w:panose1 w:val="05050102010706020507"/>
    <w:charset w:val="00"/>
    <w:family w:val="auto"/>
    <w:pitch w:val="default"/>
    <w:sig w:usb0="00000000" w:usb1="00000000" w:usb2="00000000" w:usb3="00000000" w:csb0="80000000" w:csb1="00000000"/>
  </w:font>
  <w:font w:name="Verdana">
    <w:panose1 w:val="020B0604030504040204"/>
    <w:charset w:val="00"/>
    <w:family w:val="auto"/>
    <w:pitch w:val="default"/>
    <w:sig w:usb0="00000287" w:usb1="00000000" w:usb2="00000000" w:usb3="00000000" w:csb0="2000019F" w:csb1="00000000"/>
  </w:font>
  <w:font w:name="Georgia">
    <w:panose1 w:val="02040502050405020303"/>
    <w:charset w:val="00"/>
    <w:family w:val="auto"/>
    <w:pitch w:val="default"/>
    <w:sig w:usb0="00000287" w:usb1="00000000" w:usb2="00000000" w:usb3="00000000" w:csb0="2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4"/>
    <w:multiLevelType w:val="singleLevel"/>
    <w:tmpl w:val="00000004"/>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0730C37"/>
    <w:rsid w:val="3D3B6D30"/>
    <w:rsid w:val="50730C37"/>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2016-11-03T08:04:00Z</dcterms:created>
  <dc:creator>Administrator</dc:creator>
  <cp:lastModifiedBy>Administrator</cp:lastModifiedBy>
  <dcterms:modified xsi:type="dcterms:W3CDTF">2016-11-03T09:55:26Z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2052-10.1.0.6029</vt:lpwstr>
  </property>
</Properties>
</file>